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numPr>
          <w:ilvl w:val="0"/>
          <w:numId w:val="2"/>
        </w:numPr>
        <w:jc w:val="center"/>
        <w:rPr>
          <w:b/>
          <w:bCs/>
          <w:sz w:val="48"/>
          <w:szCs w:val="48"/>
        </w:rPr>
      </w:pPr>
      <w:bookmarkStart w:id="0" w:name="__RefHeading___Toc56024_880593128"/>
      <w:bookmarkEnd w:id="0"/>
      <w:r>
        <w:rPr>
          <w:b/>
          <w:bCs/>
          <w:sz w:val="48"/>
          <w:szCs w:val="48"/>
        </w:rPr>
        <w:t>Comments on the Draft KAOMA Bill, 2025</w:t>
      </w:r>
    </w:p>
    <w:p>
      <w:pPr>
        <w:pStyle w:val="BodyText"/>
        <w:numPr>
          <w:ilvl w:val="0"/>
          <w:numId w:val="2"/>
        </w:numPr>
        <w:rPr/>
      </w:pPr>
      <w:r>
        <w:rPr/>
      </w:r>
    </w:p>
    <w:sdt>
      <w:sdtPr>
        <w:docPartObj>
          <w:docPartGallery w:val="Table of Contents"/>
          <w:docPartUnique w:val="true"/>
        </w:docPartObj>
      </w:sdtPr>
      <w:sdtContent>
        <w:p>
          <w:pPr>
            <w:pStyle w:val="TOCHeading"/>
            <w:rPr/>
          </w:pPr>
          <w:r>
            <w:rPr/>
            <w:t>Table of Contents</w:t>
          </w:r>
        </w:p>
        <w:p>
          <w:pPr>
            <w:pStyle w:val="TOC1"/>
            <w:tabs>
              <w:tab w:val="clear" w:pos="10546"/>
              <w:tab w:val="right" w:pos="10545" w:leader="dot"/>
            </w:tabs>
            <w:rPr/>
          </w:pPr>
          <w:r>
            <w:fldChar w:fldCharType="begin"/>
          </w:r>
          <w:r>
            <w:rPr>
              <w:rStyle w:val="IndexLink"/>
            </w:rPr>
            <w:instrText xml:space="preserve"> TOC \f \o "1-2" \h</w:instrText>
          </w:r>
          <w:r>
            <w:rPr>
              <w:rStyle w:val="IndexLink"/>
            </w:rPr>
            <w:fldChar w:fldCharType="separate"/>
          </w:r>
          <w:hyperlink w:anchor="__RefHeading___Toc57218_880593128" w:tooltip="Introduction">
            <w:r>
              <w:rPr>
                <w:rStyle w:val="IndexLink"/>
              </w:rPr>
              <w:t>Introduction</w:t>
              <w:tab/>
              <w:t>2</w:t>
            </w:r>
          </w:hyperlink>
        </w:p>
        <w:p>
          <w:pPr>
            <w:pStyle w:val="TOC1"/>
            <w:tabs>
              <w:tab w:val="clear" w:pos="10546"/>
              <w:tab w:val="right" w:pos="10545" w:leader="dot"/>
            </w:tabs>
            <w:rPr/>
          </w:pPr>
          <w:hyperlink w:anchor="__RefHeading___Toc56026_880593128" w:tooltip="Part A: Problem patterns (overview)">
            <w:r>
              <w:rPr>
                <w:rStyle w:val="IndexLink"/>
              </w:rPr>
              <w:t>Part A: Problem patterns (overview)</w:t>
              <w:tab/>
              <w:t>3</w:t>
            </w:r>
          </w:hyperlink>
        </w:p>
        <w:p>
          <w:pPr>
            <w:pStyle w:val="TOC1"/>
            <w:tabs>
              <w:tab w:val="clear" w:pos="10546"/>
              <w:tab w:val="right" w:pos="10545" w:leader="dot"/>
            </w:tabs>
            <w:rPr/>
          </w:pPr>
          <w:hyperlink w:anchor="__RefHeading___Toc56028_880593128" w:tooltip="Part B: Section-wise comments">
            <w:r>
              <w:rPr>
                <w:rStyle w:val="IndexLink"/>
              </w:rPr>
              <w:t>Part B: Section-wise comments</w:t>
              <w:tab/>
              <w:t>7</w:t>
            </w:r>
          </w:hyperlink>
        </w:p>
        <w:p>
          <w:pPr>
            <w:pStyle w:val="TOC1"/>
            <w:tabs>
              <w:tab w:val="clear" w:pos="10546"/>
              <w:tab w:val="right" w:pos="10545" w:leader="dot"/>
            </w:tabs>
            <w:rPr/>
          </w:pPr>
          <w:hyperlink w:anchor="__RefHeading___Toc56030_880593128" w:tooltip="Appendices: Theme-wise detailed logical derivations">
            <w:r>
              <w:rPr>
                <w:rStyle w:val="IndexLink"/>
              </w:rPr>
              <w:t>Appendices: Theme-wise detailed logical derivations</w:t>
              <w:tab/>
              <w:t>38</w:t>
            </w:r>
          </w:hyperlink>
        </w:p>
        <w:p>
          <w:pPr>
            <w:pStyle w:val="TOC2"/>
            <w:tabs>
              <w:tab w:val="clear" w:pos="10546"/>
              <w:tab w:val="right" w:pos="10545" w:leader="dot"/>
            </w:tabs>
            <w:rPr/>
          </w:pPr>
          <w:hyperlink w:anchor="__RefHeading___Toc56032_880593128" w:tooltip="Appendix 1: Tax and title ambiguity">
            <w:r>
              <w:rPr>
                <w:rStyle w:val="IndexLink"/>
              </w:rPr>
              <w:t>Appendix 1: Tax and title ambiguity</w:t>
              <w:tab/>
              <w:t>38</w:t>
            </w:r>
          </w:hyperlink>
        </w:p>
        <w:p>
          <w:pPr>
            <w:pStyle w:val="TOC2"/>
            <w:tabs>
              <w:tab w:val="clear" w:pos="10546"/>
              <w:tab w:val="right" w:pos="10545" w:leader="dot"/>
            </w:tabs>
            <w:rPr/>
          </w:pPr>
          <w:hyperlink w:anchor="__RefHeading___Toc56046_880593128" w:tooltip="Appendix 2: The 33% UDI loophole">
            <w:r>
              <w:rPr>
                <w:rStyle w:val="IndexLink"/>
              </w:rPr>
              <w:t>Appendix 2: The 33% UDI loophole</w:t>
              <w:tab/>
              <w:t>40</w:t>
            </w:r>
          </w:hyperlink>
        </w:p>
        <w:p>
          <w:pPr>
            <w:pStyle w:val="TOC2"/>
            <w:tabs>
              <w:tab w:val="clear" w:pos="10546"/>
              <w:tab w:val="right" w:pos="10545" w:leader="dot"/>
            </w:tabs>
            <w:rPr/>
          </w:pPr>
          <w:hyperlink w:anchor="__RefHeading___Toc56060_880593128" w:tooltip="Appendix 3: The &quot;DoD after OC&quot; disaster">
            <w:r>
              <w:rPr>
                <w:rStyle w:val="IndexLink"/>
              </w:rPr>
              <w:t>Appendix 3: The "DoD after OC" disaster</w:t>
              <w:tab/>
              <w:t>42</w:t>
            </w:r>
          </w:hyperlink>
        </w:p>
        <w:p>
          <w:pPr>
            <w:pStyle w:val="TOC2"/>
            <w:tabs>
              <w:tab w:val="clear" w:pos="10546"/>
              <w:tab w:val="right" w:pos="10545" w:leader="dot"/>
            </w:tabs>
            <w:rPr/>
          </w:pPr>
          <w:hyperlink w:anchor="__RefHeading___Toc56074_880593128" w:tooltip="Appendix 4: The buyer-executed DoD trap">
            <w:r>
              <w:rPr>
                <w:rStyle w:val="IndexLink"/>
              </w:rPr>
              <w:t>Appendix 4: The buyer-executed DoD trap</w:t>
              <w:tab/>
              <w:t>43</w:t>
            </w:r>
          </w:hyperlink>
        </w:p>
        <w:p>
          <w:pPr>
            <w:pStyle w:val="TOC2"/>
            <w:tabs>
              <w:tab w:val="clear" w:pos="10546"/>
              <w:tab w:val="right" w:pos="10545" w:leader="dot"/>
            </w:tabs>
            <w:rPr/>
          </w:pPr>
          <w:hyperlink w:anchor="__RefHeading___Toc56088_880593128" w:tooltip="Appendix 5: The passive competent authority">
            <w:r>
              <w:rPr>
                <w:rStyle w:val="IndexLink"/>
              </w:rPr>
              <w:t>Appendix 5: The passive competent authority</w:t>
              <w:tab/>
              <w:t>45</w:t>
            </w:r>
          </w:hyperlink>
        </w:p>
        <w:p>
          <w:pPr>
            <w:pStyle w:val="TOC2"/>
            <w:tabs>
              <w:tab w:val="clear" w:pos="10546"/>
              <w:tab w:val="right" w:pos="10545" w:leader="dot"/>
            </w:tabs>
            <w:rPr/>
          </w:pPr>
          <w:hyperlink w:anchor="__RefHeading___Toc56102_880593128" w:tooltip="Appendix 6: No cross-verification with RERA">
            <w:r>
              <w:rPr>
                <w:rStyle w:val="IndexLink"/>
              </w:rPr>
              <w:t>Appendix 6: No cross-verification with RERA</w:t>
              <w:tab/>
              <w:t>47</w:t>
            </w:r>
          </w:hyperlink>
        </w:p>
        <w:p>
          <w:pPr>
            <w:pStyle w:val="TOC2"/>
            <w:tabs>
              <w:tab w:val="clear" w:pos="10546"/>
              <w:tab w:val="right" w:pos="10545" w:leader="dot"/>
            </w:tabs>
            <w:rPr/>
          </w:pPr>
          <w:hyperlink w:anchor="__RefHeading___Toc56116_880593128" w:tooltip="Appendix 7: The electronic democracy gap">
            <w:r>
              <w:rPr>
                <w:rStyle w:val="IndexLink"/>
              </w:rPr>
              <w:t>Appendix 7: The electronic democracy gap</w:t>
              <w:tab/>
              <w:t>50</w:t>
            </w:r>
          </w:hyperlink>
        </w:p>
        <w:p>
          <w:pPr>
            <w:pStyle w:val="TOC2"/>
            <w:tabs>
              <w:tab w:val="clear" w:pos="10546"/>
              <w:tab w:val="right" w:pos="10545" w:leader="dot"/>
            </w:tabs>
            <w:rPr/>
          </w:pPr>
          <w:hyperlink w:anchor="__RefHeading___Toc56130_880593128" w:tooltip="Appendix 8: The redevelopment deadlock">
            <w:r>
              <w:rPr>
                <w:rStyle w:val="IndexLink"/>
              </w:rPr>
              <w:t>Appendix 8: The redevelopment deadlock</w:t>
              <w:tab/>
              <w:t>52</w:t>
            </w:r>
          </w:hyperlink>
        </w:p>
        <w:p>
          <w:pPr>
            <w:pStyle w:val="TOC2"/>
            <w:tabs>
              <w:tab w:val="clear" w:pos="10546"/>
              <w:tab w:val="right" w:pos="10545" w:leader="dot"/>
            </w:tabs>
            <w:rPr/>
          </w:pPr>
          <w:hyperlink w:anchor="__RefHeading___Toc56144_880593128" w:tooltip="Appendix 9: The commercialization catastrophe">
            <w:r>
              <w:rPr>
                <w:rStyle w:val="IndexLink"/>
              </w:rPr>
              <w:t>Appendix 9: The commercialization catastrophe</w:t>
              <w:tab/>
              <w:t>55</w:t>
            </w:r>
          </w:hyperlink>
        </w:p>
        <w:p>
          <w:pPr>
            <w:pStyle w:val="TOC2"/>
            <w:tabs>
              <w:tab w:val="clear" w:pos="10546"/>
              <w:tab w:val="right" w:pos="10545" w:leader="dot"/>
            </w:tabs>
            <w:rPr/>
          </w:pPr>
          <w:hyperlink w:anchor="__RefHeading___Toc56158_880593128" w:tooltip="Appendix 10: &quot;May&quot; → &quot;Shall&quot; (Mandatory duties)">
            <w:r>
              <w:rPr>
                <w:rStyle w:val="IndexLink"/>
              </w:rPr>
              <w:t>Appendix 10: "May" → "Shall" (Mandatory duties)</w:t>
              <w:tab/>
              <w:t>58</w:t>
            </w:r>
          </w:hyperlink>
        </w:p>
        <w:p>
          <w:pPr>
            <w:pStyle w:val="TOC2"/>
            <w:tabs>
              <w:tab w:val="clear" w:pos="10546"/>
              <w:tab w:val="right" w:pos="10545" w:leader="dot"/>
            </w:tabs>
            <w:rPr/>
          </w:pPr>
          <w:hyperlink w:anchor="__RefHeading___Toc56172_880593128" w:tooltip="Appendix 11: Prior approval of bye-laws">
            <w:r>
              <w:rPr>
                <w:rStyle w:val="IndexLink"/>
              </w:rPr>
              <w:t>Appendix 11: Prior approval of bye-laws</w:t>
              <w:tab/>
              <w:t>60</w:t>
            </w:r>
          </w:hyperlink>
        </w:p>
        <w:p>
          <w:pPr>
            <w:pStyle w:val="TOC2"/>
            <w:tabs>
              <w:tab w:val="clear" w:pos="10546"/>
              <w:tab w:val="right" w:pos="10545" w:leader="dot"/>
            </w:tabs>
            <w:rPr/>
          </w:pPr>
          <w:hyperlink w:anchor="__RefHeading___Toc56186_880593128" w:tooltip="Appendix 12: Declaration before first booking">
            <w:r>
              <w:rPr>
                <w:rStyle w:val="IndexLink"/>
              </w:rPr>
              <w:t>Appendix 12: Declaration before first booking</w:t>
              <w:tab/>
              <w:t>62</w:t>
            </w:r>
          </w:hyperlink>
        </w:p>
        <w:p>
          <w:pPr>
            <w:pStyle w:val="TOC2"/>
            <w:tabs>
              <w:tab w:val="clear" w:pos="10546"/>
              <w:tab w:val="right" w:pos="10545" w:leader="dot"/>
            </w:tabs>
            <w:rPr/>
          </w:pPr>
          <w:hyperlink w:anchor="__RefHeading___Toc56198_880593128" w:tooltip="Appendix 13: Change of use restriction">
            <w:r>
              <w:rPr>
                <w:rStyle w:val="IndexLink"/>
              </w:rPr>
              <w:t>Appendix 13: Change of use restriction</w:t>
              <w:tab/>
              <w:t>62</w:t>
            </w:r>
          </w:hyperlink>
        </w:p>
        <w:p>
          <w:pPr>
            <w:pStyle w:val="TOC2"/>
            <w:tabs>
              <w:tab w:val="clear" w:pos="10546"/>
              <w:tab w:val="right" w:pos="10545" w:leader="dot"/>
            </w:tabs>
            <w:rPr/>
          </w:pPr>
          <w:hyperlink w:anchor="__RefHeading___Toc56210_880593128" w:tooltip="Appendix 14: Prohibit separate associations for mixed-use">
            <w:r>
              <w:rPr>
                <w:rStyle w:val="IndexLink"/>
              </w:rPr>
              <w:t>Appendix 14: Prohibit separate associations for mixed-use</w:t>
              <w:tab/>
              <w:t>63</w:t>
            </w:r>
          </w:hyperlink>
        </w:p>
        <w:p>
          <w:pPr>
            <w:pStyle w:val="TOC2"/>
            <w:tabs>
              <w:tab w:val="clear" w:pos="10546"/>
              <w:tab w:val="right" w:pos="10545" w:leader="dot"/>
            </w:tabs>
            <w:rPr/>
          </w:pPr>
          <w:hyperlink w:anchor="__RefHeading___Toc56222_880593128" w:tooltip="Appendix 15: Voting - hybrid model">
            <w:r>
              <w:rPr>
                <w:rStyle w:val="IndexLink"/>
              </w:rPr>
              <w:t>Appendix 15: Voting - hybrid model</w:t>
              <w:tab/>
              <w:t>64</w:t>
            </w:r>
          </w:hyperlink>
        </w:p>
        <w:p>
          <w:pPr>
            <w:pStyle w:val="TOC2"/>
            <w:tabs>
              <w:tab w:val="clear" w:pos="10546"/>
              <w:tab w:val="right" w:pos="10545" w:leader="dot"/>
            </w:tabs>
            <w:rPr/>
          </w:pPr>
          <w:hyperlink w:anchor="__RefHeading___Toc56234_880593128" w:tooltip="Appendix 16: LCA - define">
            <w:r>
              <w:rPr>
                <w:rStyle w:val="IndexLink"/>
              </w:rPr>
              <w:t>Appendix 16: LCA - define</w:t>
              <w:tab/>
              <w:t>65</w:t>
            </w:r>
          </w:hyperlink>
        </w:p>
        <w:p>
          <w:pPr>
            <w:pStyle w:val="TOC2"/>
            <w:tabs>
              <w:tab w:val="clear" w:pos="10546"/>
              <w:tab w:val="right" w:pos="10545" w:leader="dot"/>
            </w:tabs>
            <w:rPr/>
          </w:pPr>
          <w:hyperlink w:anchor="__RefHeading___Toc56248_880593128" w:tooltip="Appendix 17: Service of summons - individual impleadment">
            <w:r>
              <w:rPr>
                <w:rStyle w:val="IndexLink"/>
              </w:rPr>
              <w:t>Appendix 17: Service of summons - individual impleadment</w:t>
              <w:tab/>
              <w:t>67</w:t>
            </w:r>
          </w:hyperlink>
        </w:p>
        <w:p>
          <w:pPr>
            <w:pStyle w:val="TOC2"/>
            <w:tabs>
              <w:tab w:val="clear" w:pos="10546"/>
              <w:tab w:val="right" w:pos="10545" w:leader="dot"/>
            </w:tabs>
            <w:rPr/>
          </w:pPr>
          <w:hyperlink w:anchor="__RefHeading___Toc56262_880593128" w:tooltip="Appendix 18: Penalties for CA inaction">
            <w:r>
              <w:rPr>
                <w:rStyle w:val="IndexLink"/>
              </w:rPr>
              <w:t>Appendix 18: Penalties for CA inaction</w:t>
              <w:tab/>
              <w:t>68</w:t>
            </w:r>
          </w:hyperlink>
        </w:p>
        <w:p>
          <w:pPr>
            <w:pStyle w:val="TOC2"/>
            <w:tabs>
              <w:tab w:val="clear" w:pos="10546"/>
              <w:tab w:val="right" w:pos="10545" w:leader="dot"/>
            </w:tabs>
            <w:rPr/>
          </w:pPr>
          <w:hyperlink w:anchor="__RefHeading___Toc56274_880593128" w:tooltip="Appendix 19: Reordering of Chapter VI (bye-laws)">
            <w:r>
              <w:rPr>
                <w:rStyle w:val="IndexLink"/>
              </w:rPr>
              <w:t>Appendix 19: Reordering of Chapter VI (bye-laws)</w:t>
              <w:tab/>
              <w:t>69</w:t>
            </w:r>
          </w:hyperlink>
        </w:p>
        <w:p>
          <w:pPr>
            <w:pStyle w:val="TOC2"/>
            <w:tabs>
              <w:tab w:val="clear" w:pos="10546"/>
              <w:tab w:val="right" w:pos="10545" w:leader="dot"/>
            </w:tabs>
            <w:rPr/>
          </w:pPr>
          <w:hyperlink w:anchor="__RefHeading___Toc56290_880593128" w:tooltip="Appendix 20: Applicability crisis (phased projects, townships)">
            <w:r>
              <w:rPr>
                <w:rStyle w:val="IndexLink"/>
              </w:rPr>
              <w:t>Appendix 20: Applicability crisis (phased projects, townships)</w:t>
              <w:tab/>
              <w:t>72</w:t>
            </w:r>
          </w:hyperlink>
        </w:p>
        <w:p>
          <w:pPr>
            <w:pStyle w:val="TOC1"/>
            <w:tabs>
              <w:tab w:val="clear" w:pos="10546"/>
              <w:tab w:val="right" w:pos="10545" w:leader="dot"/>
            </w:tabs>
            <w:rPr/>
          </w:pPr>
          <w:hyperlink w:anchor="__RefHeading___Toc56304_880593128" w:tooltip="Conclusion">
            <w:r>
              <w:rPr>
                <w:rStyle w:val="IndexLink"/>
              </w:rPr>
              <w:t>Conclusion</w:t>
              <w:tab/>
              <w:t>75</w:t>
            </w:r>
          </w:hyperlink>
          <w:r>
            <w:rPr>
              <w:rStyle w:val="IndexLink"/>
            </w:rPr>
            <w:fldChar w:fldCharType="end"/>
          </w:r>
        </w:p>
      </w:sdtContent>
    </w:sdt>
    <w:p>
      <w:pPr>
        <w:pStyle w:val="BodyText"/>
        <w:rPr/>
      </w:pPr>
      <w:r>
        <w:rPr/>
      </w:r>
    </w:p>
    <w:p>
      <w:pPr>
        <w:pStyle w:val="BodyText"/>
        <w:rPr/>
      </w:pPr>
      <w:r>
        <w:rPr/>
      </w:r>
    </w:p>
    <w:p>
      <w:pPr>
        <w:pStyle w:val="BodyText"/>
        <w:jc w:val="end"/>
        <w:rPr/>
      </w:pPr>
      <w:r>
        <w:rPr/>
      </w:r>
      <w:r>
        <w:br w:type="page"/>
      </w:r>
    </w:p>
    <w:p>
      <w:pPr>
        <w:pStyle w:val="Heading1"/>
        <w:numPr>
          <w:ilvl w:val="0"/>
          <w:numId w:val="2"/>
        </w:numPr>
        <w:ind w:hanging="0" w:start="0"/>
        <w:rPr/>
      </w:pPr>
      <w:bookmarkStart w:id="1" w:name="__RefHeading___Toc57218_880593128"/>
      <w:bookmarkEnd w:id="1"/>
      <w:r>
        <w:rPr/>
        <w:t>Introduction</w:t>
      </w:r>
    </w:p>
    <w:p>
      <w:pPr>
        <w:pStyle w:val="BodyText"/>
        <w:rPr/>
      </w:pPr>
      <w:r>
        <w:rPr/>
        <w:t>The Karnataka Apartment (Ownership and Management) Bill, 2025 (“KAOMA Bill” or “the Bill”) seeks to replace the fragmented and archaic legal framework governing apartment ownership in Karnataka—specifically the Karnataka Ownership of Flats Act, 1972 (KOFA) and the Karnataka Apartment Ownership Act, 1972 (KAOA). The Bill is a well-intentioned effort to consolidate the law, align with the Real Estate (Regulation and Development) Act, 2016, and establish a modern governance framework for apartment communities.</w:t>
      </w:r>
    </w:p>
    <w:p>
      <w:pPr>
        <w:pStyle w:val="BodyText"/>
        <w:rPr/>
      </w:pPr>
      <w:r>
        <w:rPr/>
        <w:t>However, a detailed clause-by-clause examination of the Bill reveals systemic flaws that, if left unaddressed, will replicate—and in some cases worsen—the very problems that have plagued apartment owners for five decades. Many provisions create legal contradictions, enable bureaucratic inaction, disenfranchise NRIs and remote owners, and open the door to commercial exploitation of residential communities.</w:t>
      </w:r>
    </w:p>
    <w:p>
      <w:pPr>
        <w:pStyle w:val="BodyText"/>
        <w:rPr/>
      </w:pPr>
      <w:r>
        <w:rPr/>
        <w:t>This document presents a comprehensive analysis of the Bill, organized into two parts:</w:t>
      </w:r>
    </w:p>
    <w:p>
      <w:pPr>
        <w:pStyle w:val="BodyText"/>
        <w:numPr>
          <w:ilvl w:val="0"/>
          <w:numId w:val="52"/>
        </w:numPr>
        <w:rPr/>
      </w:pPr>
      <w:r>
        <w:rPr>
          <w:rStyle w:val="Strong"/>
        </w:rPr>
        <w:t>Part A: Problem Patterns</w:t>
      </w:r>
      <w:r>
        <w:rPr/>
        <w:t xml:space="preserve"> — 20 systemic themes requiring coordinated amendments across multiple sections.</w:t>
      </w:r>
    </w:p>
    <w:p>
      <w:pPr>
        <w:pStyle w:val="BodyText"/>
        <w:numPr>
          <w:ilvl w:val="0"/>
          <w:numId w:val="52"/>
        </w:numPr>
        <w:rPr/>
      </w:pPr>
      <w:r>
        <w:rPr>
          <w:rStyle w:val="Strong"/>
        </w:rPr>
        <w:t>Part B: Section-wise Comments</w:t>
      </w:r>
      <w:r>
        <w:rPr/>
        <w:t xml:space="preserve"> — 197 atomic spot-fixes for individual sections.</w:t>
      </w:r>
    </w:p>
    <w:p>
      <w:pPr>
        <w:pStyle w:val="BodyText"/>
        <w:rPr/>
      </w:pPr>
      <w:r>
        <w:rPr/>
        <w:t>Each theme in Part A is supported by a detailed logical derivation in the corresponding Appendix, tracing the causal chain from the statutory defect to its impact on apartment owners. The amendments proposed are precise, actionable, and accompanied by justifications grounded in constitutional principles, statutory interpretation, and practical governance realities.</w:t>
      </w:r>
    </w:p>
    <w:p>
      <w:pPr>
        <w:pStyle w:val="BodyText"/>
        <w:rPr/>
      </w:pPr>
      <w:r>
        <w:rPr/>
        <w:t>It is submitted that these comments be considered in their entirety, and that the proposed amendments be incorporated into the Bill before its enactment. The future of apartment ownership in Karnataka—and the rights of lakhs of apartment owners—depends on getting this law right.</w:t>
      </w:r>
    </w:p>
    <w:p>
      <w:pPr>
        <w:pStyle w:val="BodyText"/>
        <w:rPr/>
      </w:pPr>
      <w:r>
        <w:rPr/>
      </w:r>
    </w:p>
    <w:p>
      <w:pPr>
        <w:pStyle w:val="BodyText"/>
        <w:rPr/>
      </w:pPr>
      <w:r>
        <w:rPr/>
      </w:r>
    </w:p>
    <w:p>
      <w:pPr>
        <w:pStyle w:val="BodyText"/>
        <w:jc w:val="end"/>
        <w:rPr/>
      </w:pPr>
      <w:r>
        <w:rPr>
          <w:rStyle w:val="Strong"/>
        </w:rPr>
        <w:t>Submitted by</w:t>
      </w:r>
      <w:r>
        <w:rPr/>
        <w:br/>
        <w:t>Nagesh Aras</w:t>
        <w:br/>
        <w:t>94482 39985</w:t>
      </w:r>
      <w:r>
        <w:br w:type="page"/>
      </w:r>
    </w:p>
    <w:p>
      <w:pPr>
        <w:pStyle w:val="Heading1"/>
        <w:numPr>
          <w:ilvl w:val="0"/>
          <w:numId w:val="2"/>
        </w:numPr>
        <w:ind w:hanging="0" w:start="0"/>
        <w:rPr/>
      </w:pPr>
      <w:bookmarkStart w:id="2" w:name="__RefHeading___Toc56026_880593128"/>
      <w:bookmarkEnd w:id="2"/>
      <w:r>
        <w:rPr/>
        <w:t>Part A: Problem patterns (overview)</w:t>
      </w:r>
    </w:p>
    <w:p>
      <w:pPr>
        <w:pStyle w:val="BodyText"/>
        <w:rPr/>
      </w:pPr>
      <w:r>
        <w:rPr/>
        <w:t>This section identifies 20 systemic problem patterns in the KAOMA Bill. Each pattern affects multiple sections of the Act and requires coordinated amendments. The detailed logical derivation for each pattern is provided in the corresponding Appendix.</w:t>
      </w:r>
    </w:p>
    <w:p>
      <w:pPr>
        <w:pStyle w:val="HorizontalLine"/>
        <w:rPr/>
      </w:pPr>
      <w:r>
        <w:rPr/>
      </w:r>
    </w:p>
    <w:p>
      <w:pPr>
        <w:pStyle w:val="BodyText"/>
        <w:rPr/>
      </w:pPr>
      <w:r>
        <w:rPr>
          <w:rStyle w:val="Strong"/>
        </w:rPr>
        <w:t>Theme 1: Tax and title ambiguity</w:t>
      </w:r>
    </w:p>
    <w:p>
      <w:pPr>
        <w:pStyle w:val="BodyText"/>
        <w:rPr/>
      </w:pPr>
      <w:r>
        <w:rPr/>
        <w:t>KAOMA#10(3) says individuals own the UDI in common areas, but KAOMA#56 says the Association is taxed on common areas. Direct contradiction causing khata confusion, mortgage rejection, inheritance complications, and revenue leakage.</w:t>
      </w:r>
    </w:p>
    <w:p>
      <w:pPr>
        <w:pStyle w:val="BodyText"/>
        <w:rPr/>
      </w:pPr>
      <w:r>
        <w:rPr>
          <w:rStyle w:val="Strong"/>
        </w:rPr>
        <w:t>Sections:</w:t>
      </w:r>
      <w:r>
        <w:rPr/>
        <w:t xml:space="preserve"> #56, #10(3), #11(4), #11(5)</w:t>
      </w:r>
    </w:p>
    <w:p>
      <w:pPr>
        <w:pStyle w:val="BodyText"/>
        <w:rPr/>
      </w:pPr>
      <w:r>
        <w:rPr>
          <w:rStyle w:val="Strong"/>
        </w:rPr>
        <w:t>Refer to:</w:t>
      </w:r>
      <w:r>
        <w:rPr/>
        <w:t xml:space="preserve"> Appendix 1</w:t>
      </w:r>
    </w:p>
    <w:p>
      <w:pPr>
        <w:pStyle w:val="HorizontalLine"/>
        <w:rPr/>
      </w:pPr>
      <w:r>
        <w:rPr/>
      </w:r>
    </w:p>
    <w:p>
      <w:pPr>
        <w:pStyle w:val="BodyText"/>
        <w:rPr/>
      </w:pPr>
      <w:r>
        <w:rPr>
          <w:rStyle w:val="Strong"/>
        </w:rPr>
        <w:t>Theme 2: The 33% UDI loophole</w:t>
      </w:r>
    </w:p>
    <w:p>
      <w:pPr>
        <w:pStyle w:val="BodyText"/>
        <w:rPr/>
      </w:pPr>
      <w:r>
        <w:rPr/>
        <w:t>KAOMA#2(hh)(iii) uses "thirty-three percent or whatever percent specified in the title deed." The "whatever percent" clause allows arbitrary manipulation of UDI. LCA excluded. No freeze mechanism.</w:t>
      </w:r>
    </w:p>
    <w:p>
      <w:pPr>
        <w:pStyle w:val="BodyText"/>
        <w:rPr/>
      </w:pPr>
      <w:r>
        <w:rPr>
          <w:rStyle w:val="Strong"/>
        </w:rPr>
        <w:t>Sections:</w:t>
      </w:r>
      <w:r>
        <w:rPr/>
        <w:t xml:space="preserve"> #2(hh), #11(2), #14(1)(f)</w:t>
      </w:r>
    </w:p>
    <w:p>
      <w:pPr>
        <w:pStyle w:val="BodyText"/>
        <w:rPr/>
      </w:pPr>
      <w:r>
        <w:rPr>
          <w:rStyle w:val="Strong"/>
        </w:rPr>
        <w:t>Refer to:</w:t>
      </w:r>
      <w:r>
        <w:rPr/>
        <w:t xml:space="preserve"> Appendix 2</w:t>
      </w:r>
    </w:p>
    <w:p>
      <w:pPr>
        <w:pStyle w:val="HorizontalLine"/>
        <w:rPr/>
      </w:pPr>
      <w:r>
        <w:rPr/>
      </w:r>
    </w:p>
    <w:p>
      <w:pPr>
        <w:pStyle w:val="BodyText"/>
        <w:rPr/>
      </w:pPr>
      <w:r>
        <w:rPr>
          <w:rStyle w:val="Strong"/>
        </w:rPr>
        <w:t>Theme 3: The "DoD after OC" disaster</w:t>
      </w:r>
    </w:p>
    <w:p>
      <w:pPr>
        <w:pStyle w:val="BodyText"/>
        <w:rPr/>
      </w:pPr>
      <w:r>
        <w:rPr/>
        <w:t>KAOMA#13(1) requires Declaration within 60 days of OC. Bookings, construction, and possession all happen before DoD is filed. Allows two frauds: (a) addition of customers; (b) change of LCAs.</w:t>
      </w:r>
    </w:p>
    <w:p>
      <w:pPr>
        <w:pStyle w:val="BodyText"/>
        <w:rPr/>
      </w:pPr>
      <w:r>
        <w:rPr>
          <w:rStyle w:val="Strong"/>
        </w:rPr>
        <w:t>Sections:</w:t>
      </w:r>
      <w:r>
        <w:rPr/>
        <w:t xml:space="preserve"> #13(1), #13(4), #14(1)(b), #16(4)(a)</w:t>
      </w:r>
    </w:p>
    <w:p>
      <w:pPr>
        <w:pStyle w:val="BodyText"/>
        <w:rPr/>
      </w:pPr>
      <w:r>
        <w:rPr>
          <w:rStyle w:val="Strong"/>
        </w:rPr>
        <w:t>Refer to:</w:t>
      </w:r>
      <w:r>
        <w:rPr/>
        <w:t xml:space="preserve"> Appendix 3</w:t>
      </w:r>
    </w:p>
    <w:p>
      <w:pPr>
        <w:pStyle w:val="HorizontalLine"/>
        <w:rPr/>
      </w:pPr>
      <w:r>
        <w:rPr/>
      </w:r>
    </w:p>
    <w:p>
      <w:pPr>
        <w:pStyle w:val="BodyText"/>
        <w:rPr/>
      </w:pPr>
      <w:r>
        <w:rPr>
          <w:rStyle w:val="Strong"/>
        </w:rPr>
        <w:t>Theme 4: The buyer-executed DoD trap</w:t>
      </w:r>
    </w:p>
    <w:p>
      <w:pPr>
        <w:pStyle w:val="BodyText"/>
        <w:rPr/>
      </w:pPr>
      <w:r>
        <w:rPr/>
        <w:t>KAOMA#13(2) allows the association to submit the Declaration with CA permission if the promoter "fails or is unable." This re-legalizes buyer-executed DoDs (void ab initio) without adequate safeguards.</w:t>
      </w:r>
    </w:p>
    <w:p>
      <w:pPr>
        <w:pStyle w:val="BodyText"/>
        <w:rPr/>
      </w:pPr>
      <w:r>
        <w:rPr>
          <w:rStyle w:val="Strong"/>
        </w:rPr>
        <w:t>Sections:</w:t>
      </w:r>
      <w:r>
        <w:rPr/>
        <w:t xml:space="preserve"> #13(2), #13(3), #22(1)</w:t>
      </w:r>
    </w:p>
    <w:p>
      <w:pPr>
        <w:pStyle w:val="BodyText"/>
        <w:rPr/>
      </w:pPr>
      <w:r>
        <w:rPr>
          <w:rStyle w:val="Strong"/>
        </w:rPr>
        <w:t>Refer to:</w:t>
      </w:r>
      <w:r>
        <w:rPr/>
        <w:t xml:space="preserve"> Appendix 4</w:t>
      </w:r>
    </w:p>
    <w:p>
      <w:pPr>
        <w:pStyle w:val="HorizontalLine"/>
        <w:rPr/>
      </w:pPr>
      <w:r>
        <w:rPr/>
      </w:r>
    </w:p>
    <w:p>
      <w:pPr>
        <w:pStyle w:val="BodyText"/>
        <w:rPr/>
      </w:pPr>
      <w:r>
        <w:rPr>
          <w:rStyle w:val="Strong"/>
        </w:rPr>
        <w:t>Theme 5: The passive competent authority</w:t>
      </w:r>
    </w:p>
    <w:p>
      <w:pPr>
        <w:pStyle w:val="BodyText"/>
        <w:rPr/>
      </w:pPr>
      <w:r>
        <w:rPr/>
        <w:t>CA "scrutinizes" but does not verify title, approvals, areas, UDI, or encumbrances. No Certificate of Compliance. Replicates KAOA's "file and forget" culture.</w:t>
      </w:r>
    </w:p>
    <w:p>
      <w:pPr>
        <w:pStyle w:val="BodyText"/>
        <w:rPr/>
      </w:pPr>
      <w:r>
        <w:rPr>
          <w:rStyle w:val="Strong"/>
        </w:rPr>
        <w:t>Sections:</w:t>
      </w:r>
      <w:r>
        <w:rPr/>
        <w:t xml:space="preserve"> #13(4), #14, #41, #40, #42</w:t>
      </w:r>
    </w:p>
    <w:p>
      <w:pPr>
        <w:pStyle w:val="BodyText"/>
        <w:rPr/>
      </w:pPr>
      <w:r>
        <w:rPr>
          <w:rStyle w:val="Strong"/>
        </w:rPr>
        <w:t>Refer to:</w:t>
      </w:r>
      <w:r>
        <w:rPr/>
        <w:t xml:space="preserve"> Appendix 5</w:t>
      </w:r>
    </w:p>
    <w:p>
      <w:pPr>
        <w:pStyle w:val="HorizontalLine"/>
        <w:rPr/>
      </w:pPr>
      <w:r>
        <w:rPr/>
      </w:r>
    </w:p>
    <w:p>
      <w:pPr>
        <w:pStyle w:val="BodyText"/>
        <w:keepNext w:val="true"/>
        <w:rPr/>
      </w:pPr>
      <w:r>
        <w:rPr>
          <w:rStyle w:val="Strong"/>
        </w:rPr>
        <w:t>Theme 6: No cross-verification with RERA</w:t>
      </w:r>
    </w:p>
    <w:p>
      <w:pPr>
        <w:pStyle w:val="BodyText"/>
        <w:rPr/>
      </w:pPr>
      <w:r>
        <w:rPr/>
        <w:t>No mandated common repository. Builders can submit different documents to RERA and KAOMA. No one detects discrepancies. Fraud and mistakes have same effect on owners.</w:t>
      </w:r>
    </w:p>
    <w:p>
      <w:pPr>
        <w:pStyle w:val="BodyText"/>
        <w:rPr/>
      </w:pPr>
      <w:r>
        <w:rPr>
          <w:rStyle w:val="Strong"/>
        </w:rPr>
        <w:t>Sections:</w:t>
      </w:r>
      <w:r>
        <w:rPr/>
        <w:t xml:space="preserve"> #13, #41, #67</w:t>
      </w:r>
    </w:p>
    <w:p>
      <w:pPr>
        <w:pStyle w:val="BodyText"/>
        <w:rPr/>
      </w:pPr>
      <w:r>
        <w:rPr>
          <w:rStyle w:val="Strong"/>
        </w:rPr>
        <w:t xml:space="preserve">Refer to: </w:t>
      </w:r>
      <w:r>
        <w:rPr/>
        <w:t>Appendix 6</w:t>
      </w:r>
    </w:p>
    <w:p>
      <w:pPr>
        <w:pStyle w:val="HorizontalLine"/>
        <w:rPr/>
      </w:pPr>
      <w:r>
        <w:rPr/>
      </w:r>
    </w:p>
    <w:p>
      <w:pPr>
        <w:pStyle w:val="BodyText"/>
        <w:rPr/>
      </w:pPr>
      <w:r>
        <w:rPr>
          <w:rStyle w:val="Strong"/>
        </w:rPr>
        <w:t>Theme 7: The electronic democracy gap</w:t>
      </w:r>
    </w:p>
    <w:p>
      <w:pPr>
        <w:pStyle w:val="BodyText"/>
        <w:rPr/>
      </w:pPr>
      <w:r>
        <w:rPr/>
        <w:t>No e-voting or virtual meetings. NRIs, frequent travelers, and disabled owners disenfranchised. Post-facto ratification of urgent expenses without ability to vote in real-time.</w:t>
      </w:r>
    </w:p>
    <w:p>
      <w:pPr>
        <w:pStyle w:val="BodyText"/>
        <w:rPr/>
      </w:pPr>
      <w:r>
        <w:rPr>
          <w:rStyle w:val="Strong"/>
        </w:rPr>
        <w:t>Sections:</w:t>
      </w:r>
      <w:r>
        <w:rPr/>
        <w:t xml:space="preserve"> #31(2), #31(8), #35(1), #50(3), #36</w:t>
      </w:r>
    </w:p>
    <w:p>
      <w:pPr>
        <w:pStyle w:val="BodyText"/>
        <w:rPr/>
      </w:pPr>
      <w:r>
        <w:rPr>
          <w:rStyle w:val="Strong"/>
        </w:rPr>
        <w:t>Refer to:</w:t>
      </w:r>
      <w:r>
        <w:rPr/>
        <w:t xml:space="preserve"> Appendix 7</w:t>
      </w:r>
    </w:p>
    <w:p>
      <w:pPr>
        <w:pStyle w:val="HorizontalLine"/>
        <w:rPr/>
      </w:pPr>
      <w:r>
        <w:rPr/>
      </w:r>
    </w:p>
    <w:p>
      <w:pPr>
        <w:pStyle w:val="BodyText"/>
        <w:rPr/>
      </w:pPr>
      <w:r>
        <w:rPr>
          <w:rStyle w:val="Strong"/>
        </w:rPr>
        <w:t>Theme 8: The redevelopment deadlock</w:t>
      </w:r>
    </w:p>
    <w:p>
      <w:pPr>
        <w:pStyle w:val="BodyText"/>
        <w:rPr/>
      </w:pPr>
      <w:r>
        <w:rPr/>
        <w:t>Bundled vote + 2x multiplier creates perverse incentive to vote "No." Nash equilibrium = failure. Building decays. Everyone loses.</w:t>
      </w:r>
    </w:p>
    <w:p>
      <w:pPr>
        <w:pStyle w:val="BodyText"/>
        <w:rPr/>
      </w:pPr>
      <w:r>
        <w:rPr>
          <w:rStyle w:val="Strong"/>
        </w:rPr>
        <w:t>Sections:</w:t>
      </w:r>
      <w:r>
        <w:rPr/>
        <w:t xml:space="preserve"> #50(3), #50(5), #50(10), #50(11)</w:t>
      </w:r>
    </w:p>
    <w:p>
      <w:pPr>
        <w:pStyle w:val="BodyText"/>
        <w:rPr/>
      </w:pPr>
      <w:r>
        <w:rPr>
          <w:rStyle w:val="Strong"/>
        </w:rPr>
        <w:t>Refer to:</w:t>
      </w:r>
      <w:r>
        <w:rPr/>
        <w:t xml:space="preserve"> Appendix 8</w:t>
      </w:r>
    </w:p>
    <w:p>
      <w:pPr>
        <w:pStyle w:val="HorizontalLine"/>
        <w:rPr/>
      </w:pPr>
      <w:r>
        <w:rPr/>
      </w:r>
    </w:p>
    <w:p>
      <w:pPr>
        <w:pStyle w:val="BodyText"/>
        <w:rPr/>
      </w:pPr>
      <w:r>
        <w:rPr>
          <w:rStyle w:val="Strong"/>
        </w:rPr>
        <w:t>Theme 9: The commercialization catastrophe</w:t>
      </w:r>
    </w:p>
    <w:p>
      <w:pPr>
        <w:pStyle w:val="BodyText"/>
        <w:rPr/>
      </w:pPr>
      <w:r>
        <w:rPr/>
        <w:t>Residential gatekeeping removed. No change-of-use restriction. Flats can become godowns, dark kitchens, serviced apartments, BPOs. Residents suffer: noise, safety risks, property value collapse.</w:t>
      </w:r>
    </w:p>
    <w:p>
      <w:pPr>
        <w:pStyle w:val="BodyText"/>
        <w:rPr/>
      </w:pPr>
      <w:r>
        <w:rPr>
          <w:rStyle w:val="Strong"/>
        </w:rPr>
        <w:t>Sections:</w:t>
      </w:r>
      <w:r>
        <w:rPr/>
        <w:t xml:space="preserve"> #1(3), #2(a), #2(b), #2(m), #12(4), #18(b), #18(f), #18(m), #19, #21(5), #21(7), #24(3)</w:t>
      </w:r>
    </w:p>
    <w:p>
      <w:pPr>
        <w:pStyle w:val="BodyText"/>
        <w:rPr/>
      </w:pPr>
      <w:r>
        <w:rPr>
          <w:rStyle w:val="Strong"/>
        </w:rPr>
        <w:t>Refer to:</w:t>
      </w:r>
      <w:r>
        <w:rPr/>
        <w:t xml:space="preserve"> Appendix 9</w:t>
      </w:r>
    </w:p>
    <w:p>
      <w:pPr>
        <w:pStyle w:val="HorizontalLine"/>
        <w:rPr/>
      </w:pPr>
      <w:r>
        <w:rPr/>
      </w:r>
    </w:p>
    <w:p>
      <w:pPr>
        <w:pStyle w:val="BodyText"/>
        <w:rPr/>
      </w:pPr>
      <w:r>
        <w:rPr>
          <w:rStyle w:val="Strong"/>
        </w:rPr>
        <w:t>Theme 10: "May" → "Shall" (mandatory duties)</w:t>
      </w:r>
    </w:p>
    <w:p>
      <w:pPr>
        <w:pStyle w:val="BodyText"/>
        <w:rPr/>
      </w:pPr>
      <w:r>
        <w:rPr/>
        <w:t>Multiple sections use "may" (optional) where "shall" (mandatory) is required. "May" allows bureaucratic inaction. "Shall" creates enforceable duties.</w:t>
      </w:r>
    </w:p>
    <w:p>
      <w:pPr>
        <w:pStyle w:val="BodyText"/>
        <w:rPr/>
      </w:pPr>
      <w:r>
        <w:rPr>
          <w:rStyle w:val="Strong"/>
        </w:rPr>
        <w:t>Sections:</w:t>
      </w:r>
      <w:r>
        <w:rPr/>
        <w:t xml:space="preserve"> #15(3), #20(11), #24(5), #25(3), #31(8), #40(b), #50(5), #54(1), #54(2), #55(2), #61(1)</w:t>
      </w:r>
    </w:p>
    <w:p>
      <w:pPr>
        <w:pStyle w:val="BodyText"/>
        <w:rPr/>
      </w:pPr>
      <w:r>
        <w:rPr>
          <w:rStyle w:val="Strong"/>
        </w:rPr>
        <w:t>Refer to:</w:t>
      </w:r>
      <w:r>
        <w:rPr/>
        <w:t xml:space="preserve"> Appendix 10</w:t>
      </w:r>
    </w:p>
    <w:p>
      <w:pPr>
        <w:pStyle w:val="HorizontalLine"/>
        <w:rPr/>
      </w:pPr>
      <w:r>
        <w:rPr/>
      </w:r>
    </w:p>
    <w:p>
      <w:pPr>
        <w:pStyle w:val="BodyText"/>
        <w:rPr/>
      </w:pPr>
      <w:r>
        <w:rPr>
          <w:rStyle w:val="Strong"/>
        </w:rPr>
        <w:t>Theme 11: Prior approval of bye-laws</w:t>
      </w:r>
    </w:p>
    <w:p>
      <w:pPr>
        <w:pStyle w:val="BodyText"/>
        <w:rPr/>
      </w:pPr>
      <w:r>
        <w:rPr/>
        <w:t>Bye-laws registered first, then CA may declare them void later (#15(3)). Backward sequencing creates legal chaos. Approval should happen BEFORE registration.</w:t>
      </w:r>
    </w:p>
    <w:p>
      <w:pPr>
        <w:pStyle w:val="BodyText"/>
        <w:rPr/>
      </w:pPr>
      <w:r>
        <w:rPr>
          <w:rStyle w:val="Strong"/>
        </w:rPr>
        <w:t>Sections:</w:t>
      </w:r>
      <w:r>
        <w:rPr/>
        <w:t xml:space="preserve"> #34, #15(3)</w:t>
      </w:r>
    </w:p>
    <w:p>
      <w:pPr>
        <w:pStyle w:val="BodyText"/>
        <w:rPr/>
      </w:pPr>
      <w:r>
        <w:rPr>
          <w:rStyle w:val="Strong"/>
        </w:rPr>
        <w:t xml:space="preserve">Refer to: </w:t>
      </w:r>
      <w:r>
        <w:rPr/>
        <w:t>Appendix 11</w:t>
      </w:r>
    </w:p>
    <w:p>
      <w:pPr>
        <w:pStyle w:val="HorizontalLine"/>
        <w:rPr/>
      </w:pPr>
      <w:r>
        <w:rPr/>
      </w:r>
    </w:p>
    <w:p>
      <w:pPr>
        <w:pStyle w:val="BodyText"/>
        <w:keepNext w:val="true"/>
        <w:rPr/>
      </w:pPr>
      <w:r>
        <w:rPr>
          <w:rStyle w:val="Strong"/>
        </w:rPr>
        <w:t>Theme 12: Declaration before first booking</w:t>
      </w:r>
    </w:p>
    <w:p>
      <w:pPr>
        <w:pStyle w:val="BodyText"/>
        <w:rPr/>
      </w:pPr>
      <w:r>
        <w:rPr/>
        <w:t>DoD must be filed BEFORE any bookings to prevent fraud. Currently #13(1) allows filing 60 days after OC.</w:t>
      </w:r>
    </w:p>
    <w:p>
      <w:pPr>
        <w:pStyle w:val="BodyText"/>
        <w:rPr/>
      </w:pPr>
      <w:r>
        <w:rPr>
          <w:rStyle w:val="Strong"/>
        </w:rPr>
        <w:t>Sections:</w:t>
      </w:r>
      <w:r>
        <w:rPr/>
        <w:t xml:space="preserve"> #13(1), #13(4), #14(1)(b), #16(4)(a)</w:t>
      </w:r>
    </w:p>
    <w:p>
      <w:pPr>
        <w:pStyle w:val="BodyText"/>
        <w:rPr/>
      </w:pPr>
      <w:r>
        <w:rPr>
          <w:rStyle w:val="Strong"/>
        </w:rPr>
        <w:t>Refer to:</w:t>
      </w:r>
      <w:r>
        <w:rPr/>
        <w:t xml:space="preserve"> Appendix 12</w:t>
      </w:r>
    </w:p>
    <w:p>
      <w:pPr>
        <w:pStyle w:val="HorizontalLine"/>
        <w:rPr/>
      </w:pPr>
      <w:r>
        <w:rPr/>
      </w:r>
    </w:p>
    <w:p>
      <w:pPr>
        <w:pStyle w:val="BodyText"/>
        <w:rPr/>
      </w:pPr>
      <w:r>
        <w:rPr>
          <w:rStyle w:val="Strong"/>
        </w:rPr>
        <w:t>Theme 13: Change of use restriction</w:t>
      </w:r>
    </w:p>
    <w:p>
      <w:pPr>
        <w:pStyle w:val="BodyText"/>
        <w:rPr/>
      </w:pPr>
      <w:r>
        <w:rPr/>
        <w:t>No change-of-use restriction. Flat can become godown/shop without approval. Requires distinct amendments to #18(b), #18(f), and #1(3).</w:t>
      </w:r>
    </w:p>
    <w:p>
      <w:pPr>
        <w:pStyle w:val="BodyText"/>
        <w:rPr/>
      </w:pPr>
      <w:r>
        <w:rPr>
          <w:rStyle w:val="Strong"/>
        </w:rPr>
        <w:t>Sections:</w:t>
      </w:r>
      <w:r>
        <w:rPr/>
        <w:t xml:space="preserve"> #18(b), #18(f), #1(3)</w:t>
      </w:r>
    </w:p>
    <w:p>
      <w:pPr>
        <w:pStyle w:val="BodyText"/>
        <w:rPr/>
      </w:pPr>
      <w:r>
        <w:rPr>
          <w:rStyle w:val="Strong"/>
        </w:rPr>
        <w:t xml:space="preserve">Refer to: </w:t>
      </w:r>
      <w:r>
        <w:rPr/>
        <w:t>Appendix 13</w:t>
      </w:r>
    </w:p>
    <w:p>
      <w:pPr>
        <w:pStyle w:val="HorizontalLine"/>
        <w:rPr/>
      </w:pPr>
      <w:r>
        <w:rPr/>
      </w:r>
    </w:p>
    <w:p>
      <w:pPr>
        <w:pStyle w:val="BodyText"/>
        <w:rPr/>
      </w:pPr>
      <w:r>
        <w:rPr>
          <w:rStyle w:val="Strong"/>
        </w:rPr>
        <w:t>Theme 14: Prohibit separate associations for mixed-use</w:t>
      </w:r>
    </w:p>
    <w:p>
      <w:pPr>
        <w:pStyle w:val="BodyText"/>
        <w:rPr/>
      </w:pPr>
      <w:r>
        <w:rPr/>
        <w:t>#21(5) allows separate associations for residential, commercial, and EWS units. Fragments residential owners' collective bargaining power. Commercial interests dominate.</w:t>
      </w:r>
    </w:p>
    <w:p>
      <w:pPr>
        <w:pStyle w:val="BodyText"/>
        <w:rPr/>
      </w:pPr>
      <w:r>
        <w:rPr>
          <w:rStyle w:val="Strong"/>
        </w:rPr>
        <w:t>Sections:</w:t>
      </w:r>
      <w:r>
        <w:rPr/>
        <w:t xml:space="preserve"> #21(5)</w:t>
      </w:r>
    </w:p>
    <w:p>
      <w:pPr>
        <w:pStyle w:val="BodyText"/>
        <w:rPr/>
      </w:pPr>
      <w:r>
        <w:rPr>
          <w:rStyle w:val="Strong"/>
        </w:rPr>
        <w:t xml:space="preserve">Refer to: </w:t>
      </w:r>
      <w:r>
        <w:rPr/>
        <w:t>Appendix 14</w:t>
      </w:r>
    </w:p>
    <w:p>
      <w:pPr>
        <w:pStyle w:val="HorizontalLine"/>
        <w:rPr/>
      </w:pPr>
      <w:r>
        <w:rPr/>
      </w:r>
    </w:p>
    <w:p>
      <w:pPr>
        <w:pStyle w:val="BodyText"/>
        <w:rPr/>
      </w:pPr>
      <w:r>
        <w:rPr>
          <w:rStyle w:val="Strong"/>
        </w:rPr>
        <w:t>Theme 15: Voting - hybrid model</w:t>
      </w:r>
    </w:p>
    <w:p>
      <w:pPr>
        <w:pStyle w:val="BodyText"/>
        <w:rPr/>
      </w:pPr>
      <w:r>
        <w:rPr/>
        <w:t>One-vote-one-owner creates perverse incentives. Owner of 10 apartments has 1 vote. If they sell 9, those 9 buyers get 9 votes. Massive increase in voting power. Incoherent.</w:t>
      </w:r>
    </w:p>
    <w:p>
      <w:pPr>
        <w:pStyle w:val="BodyText"/>
        <w:rPr/>
      </w:pPr>
      <w:r>
        <w:rPr>
          <w:rStyle w:val="Strong"/>
        </w:rPr>
        <w:t>Sections:</w:t>
      </w:r>
      <w:r>
        <w:rPr/>
        <w:t xml:space="preserve"> #21(7)</w:t>
      </w:r>
    </w:p>
    <w:p>
      <w:pPr>
        <w:pStyle w:val="BodyText"/>
        <w:rPr/>
      </w:pPr>
      <w:r>
        <w:rPr>
          <w:rStyle w:val="Strong"/>
        </w:rPr>
        <w:t xml:space="preserve">Refer to: </w:t>
      </w:r>
      <w:r>
        <w:rPr/>
        <w:t>Appendix 15</w:t>
      </w:r>
    </w:p>
    <w:p>
      <w:pPr>
        <w:pStyle w:val="HorizontalLine"/>
        <w:rPr/>
      </w:pPr>
      <w:r>
        <w:rPr/>
      </w:r>
    </w:p>
    <w:p>
      <w:pPr>
        <w:pStyle w:val="BodyText"/>
        <w:rPr/>
      </w:pPr>
      <w:r>
        <w:rPr>
          <w:rStyle w:val="Strong"/>
        </w:rPr>
        <w:t>Theme 16: LCA - define</w:t>
      </w:r>
    </w:p>
    <w:p>
      <w:pPr>
        <w:pStyle w:val="BodyText"/>
        <w:rPr/>
      </w:pPr>
      <w:r>
        <w:rPr/>
        <w:t>LCA concept used throughout the Bill but never defined. #14(1)(e) requires Declaration to list LCAs but there is no definition.</w:t>
      </w:r>
    </w:p>
    <w:p>
      <w:pPr>
        <w:pStyle w:val="BodyText"/>
        <w:rPr/>
      </w:pPr>
      <w:r>
        <w:rPr>
          <w:rStyle w:val="Strong"/>
        </w:rPr>
        <w:t>Sections:</w:t>
      </w:r>
      <w:r>
        <w:rPr/>
        <w:t xml:space="preserve"> #2(i)</w:t>
      </w:r>
    </w:p>
    <w:p>
      <w:pPr>
        <w:pStyle w:val="BodyText"/>
        <w:rPr/>
      </w:pPr>
      <w:r>
        <w:rPr>
          <w:rStyle w:val="Strong"/>
        </w:rPr>
        <w:t>Refer to:</w:t>
      </w:r>
      <w:r>
        <w:rPr/>
        <w:t xml:space="preserve"> Appendix 16</w:t>
      </w:r>
    </w:p>
    <w:p>
      <w:pPr>
        <w:pStyle w:val="HorizontalLine"/>
        <w:rPr/>
      </w:pPr>
      <w:r>
        <w:rPr/>
      </w:r>
    </w:p>
    <w:p>
      <w:pPr>
        <w:pStyle w:val="BodyText"/>
        <w:rPr/>
      </w:pPr>
      <w:r>
        <w:rPr>
          <w:rStyle w:val="Strong"/>
        </w:rPr>
        <w:t xml:space="preserve">Theme 17: Service of summons - individual impleadment </w:t>
      </w:r>
      <w:r>
        <w:rPr>
          <w:rStyle w:val="Strong"/>
        </w:rPr>
        <w:t>is required</w:t>
      </w:r>
    </w:p>
    <w:p>
      <w:pPr>
        <w:pStyle w:val="BodyText"/>
        <w:rPr/>
      </w:pPr>
      <w:r>
        <w:rPr/>
        <w:t xml:space="preserve">#57(4) allows service of summons on the association where individual owners' rights are affected. Violates natural justice. Owner must be personally impleaded and served, </w:t>
      </w:r>
      <w:r>
        <w:rPr/>
        <w:t xml:space="preserve">because he is a </w:t>
      </w:r>
      <w:r>
        <w:rPr>
          <w:rStyle w:val="Quotation"/>
        </w:rPr>
        <w:t>necessaary party</w:t>
      </w:r>
      <w:r>
        <w:rPr/>
        <w:t>.</w:t>
      </w:r>
    </w:p>
    <w:p>
      <w:pPr>
        <w:pStyle w:val="BodyText"/>
        <w:rPr/>
      </w:pPr>
      <w:r>
        <w:rPr>
          <w:rStyle w:val="Strong"/>
        </w:rPr>
        <w:t>Sections:</w:t>
      </w:r>
      <w:r>
        <w:rPr/>
        <w:t xml:space="preserve"> #57(4)</w:t>
      </w:r>
    </w:p>
    <w:p>
      <w:pPr>
        <w:pStyle w:val="BodyText"/>
        <w:rPr/>
      </w:pPr>
      <w:r>
        <w:rPr>
          <w:rStyle w:val="Strong"/>
        </w:rPr>
        <w:t>Refer to:</w:t>
      </w:r>
      <w:r>
        <w:rPr/>
        <w:t xml:space="preserve"> Appendix 17</w:t>
      </w:r>
    </w:p>
    <w:p>
      <w:pPr>
        <w:pStyle w:val="HorizontalLine"/>
        <w:rPr/>
      </w:pPr>
      <w:r>
        <w:rPr/>
      </w:r>
    </w:p>
    <w:p>
      <w:pPr>
        <w:pStyle w:val="BodyText"/>
        <w:keepNext w:val="true"/>
        <w:rPr/>
      </w:pPr>
      <w:r>
        <w:rPr>
          <w:rStyle w:val="Strong"/>
        </w:rPr>
        <w:t>Theme 18: Penalties for CA inaction</w:t>
      </w:r>
    </w:p>
    <w:p>
      <w:pPr>
        <w:pStyle w:val="BodyText"/>
        <w:rPr/>
      </w:pPr>
      <w:r>
        <w:rPr/>
        <w:t>No penalty for CA inaction. CA can ignore applications indefinitely. No consequence. No accountability.</w:t>
      </w:r>
    </w:p>
    <w:p>
      <w:pPr>
        <w:pStyle w:val="BodyText"/>
        <w:rPr/>
      </w:pPr>
      <w:r>
        <w:rPr>
          <w:rStyle w:val="Strong"/>
        </w:rPr>
        <w:t>Sections:</w:t>
      </w:r>
      <w:r>
        <w:rPr/>
        <w:t xml:space="preserve"> #61</w:t>
      </w:r>
    </w:p>
    <w:p>
      <w:pPr>
        <w:pStyle w:val="BodyText"/>
        <w:rPr/>
      </w:pPr>
      <w:r>
        <w:rPr>
          <w:rStyle w:val="Strong"/>
        </w:rPr>
        <w:t>Refer to:</w:t>
      </w:r>
      <w:r>
        <w:rPr/>
        <w:t xml:space="preserve"> Appendix 18</w:t>
      </w:r>
    </w:p>
    <w:p>
      <w:pPr>
        <w:pStyle w:val="HorizontalLine"/>
        <w:rPr/>
      </w:pPr>
      <w:r>
        <w:rPr/>
      </w:r>
    </w:p>
    <w:p>
      <w:pPr>
        <w:pStyle w:val="BodyText"/>
        <w:rPr/>
      </w:pPr>
      <w:r>
        <w:rPr>
          <w:rStyle w:val="Strong"/>
        </w:rPr>
        <w:t>Theme 19: Reordering of Chapter VI (bye-laws)</w:t>
      </w:r>
    </w:p>
    <w:p>
      <w:pPr>
        <w:pStyle w:val="BodyText"/>
        <w:rPr/>
      </w:pPr>
      <w:r>
        <w:rPr/>
        <w:t>Existing Chapter VI (Sections 33-38) is illogically sequenced. Does not follow the lifecycle of bye-laws. Needs structural reordering.</w:t>
      </w:r>
    </w:p>
    <w:p>
      <w:pPr>
        <w:pStyle w:val="BodyText"/>
        <w:rPr/>
      </w:pPr>
      <w:r>
        <w:rPr>
          <w:rStyle w:val="Strong"/>
        </w:rPr>
        <w:t>Sections:</w:t>
      </w:r>
      <w:r>
        <w:rPr/>
        <w:t xml:space="preserve"> #33-39, new #39A</w:t>
      </w:r>
    </w:p>
    <w:p>
      <w:pPr>
        <w:pStyle w:val="BodyText"/>
        <w:rPr/>
      </w:pPr>
      <w:r>
        <w:rPr>
          <w:rStyle w:val="Strong"/>
        </w:rPr>
        <w:t>Refer to:</w:t>
      </w:r>
      <w:r>
        <w:rPr/>
        <w:t xml:space="preserve"> Appendix 19</w:t>
      </w:r>
    </w:p>
    <w:p>
      <w:pPr>
        <w:pStyle w:val="HorizontalLine"/>
        <w:rPr/>
      </w:pPr>
      <w:r>
        <w:rPr/>
      </w:r>
    </w:p>
    <w:p>
      <w:pPr>
        <w:pStyle w:val="BodyText"/>
        <w:rPr/>
      </w:pPr>
      <w:r>
        <w:rPr>
          <w:rStyle w:val="Strong"/>
        </w:rPr>
        <w:t>Theme 20: Applicability crisis (phased projects, townships)</w:t>
      </w:r>
    </w:p>
    <w:p>
      <w:pPr>
        <w:pStyle w:val="BodyText"/>
        <w:rPr/>
      </w:pPr>
      <w:r>
        <w:rPr/>
        <w:t>KAOMA model designed for single-building condominiums. But Sections 1(5) and 21(5) allow phased projects and townships. No workable governance, financial, or ownership framework. UDI absurdities, redevelopment paradox, inter-phase liability spillover.</w:t>
      </w:r>
    </w:p>
    <w:p>
      <w:pPr>
        <w:pStyle w:val="BodyText"/>
        <w:rPr/>
      </w:pPr>
      <w:r>
        <w:rPr>
          <w:rStyle w:val="Strong"/>
        </w:rPr>
        <w:t>Sections:</w:t>
      </w:r>
      <w:r>
        <w:rPr/>
        <w:t xml:space="preserve"> #1(5), #21(5), #2(hh), #3, #11(3), #9, #26, #25</w:t>
      </w:r>
    </w:p>
    <w:p>
      <w:pPr>
        <w:pStyle w:val="BodyText"/>
        <w:rPr/>
      </w:pPr>
      <w:r>
        <w:rPr>
          <w:rStyle w:val="Strong"/>
        </w:rPr>
        <w:t>Refer to:</w:t>
      </w:r>
      <w:r>
        <w:rPr/>
        <w:t xml:space="preserve"> Appendix 20</w:t>
      </w:r>
    </w:p>
    <w:p>
      <w:pPr>
        <w:pStyle w:val="HorizontalLine"/>
        <w:rPr/>
      </w:pPr>
      <w:r>
        <w:rPr/>
      </w:r>
    </w:p>
    <w:p>
      <w:pPr>
        <w:pStyle w:val="BodyText"/>
        <w:rPr/>
        <w:sectPr>
          <w:type w:val="nextPage"/>
          <w:pgSz w:w="11906" w:h="16838"/>
          <w:pgMar w:left="692" w:right="668" w:gutter="0" w:header="0" w:top="488" w:footer="0" w:bottom="551"/>
          <w:pgNumType w:fmt="decimal"/>
          <w:formProt w:val="false"/>
          <w:textDirection w:val="lrTb"/>
          <w:docGrid w:type="default" w:linePitch="312" w:charSpace="0"/>
        </w:sectPr>
      </w:pPr>
      <w:r>
        <w:rPr/>
      </w:r>
    </w:p>
    <w:p>
      <w:pPr>
        <w:pStyle w:val="Heading1"/>
        <w:numPr>
          <w:ilvl w:val="0"/>
          <w:numId w:val="2"/>
        </w:numPr>
        <w:ind w:hanging="0" w:start="0"/>
        <w:rPr/>
      </w:pPr>
      <w:bookmarkStart w:id="3" w:name="__RefHeading___Toc56028_880593128"/>
      <w:bookmarkEnd w:id="3"/>
      <w:r>
        <w:rPr/>
        <w:t>Part B: Section-wise comments</w:t>
      </w:r>
    </w:p>
    <w:p>
      <w:pPr>
        <w:pStyle w:val="HorizontalLine"/>
        <w:rPr/>
      </w:pPr>
      <w:r>
        <w:rPr/>
      </w:r>
    </w:p>
    <w:p>
      <w:pPr>
        <w:pStyle w:val="BodyText"/>
        <w:rPr/>
      </w:pPr>
      <w:r>
        <w:rPr>
          <w:rStyle w:val="Strong"/>
        </w:rPr>
        <w:t>Note to reader:</w:t>
      </w:r>
      <w:r>
        <w:rPr/>
        <w:t xml:space="preserve"> The following table contains atomic, single-section amendments. Each entry is self-contained. For systemic patterns affecting multiple sections, please refer to the corresponding Appendix referenced in Part A.</w:t>
      </w:r>
    </w:p>
    <w:p>
      <w:pPr>
        <w:pStyle w:val="HorizontalLine"/>
        <w:rPr/>
      </w:pPr>
      <w:r>
        <w:rPr/>
      </w:r>
    </w:p>
    <w:tbl>
      <w:tblPr>
        <w:tblW w:w="15932" w:type="dxa"/>
        <w:jc w:val="start"/>
        <w:tblInd w:w="53" w:type="dxa"/>
        <w:tblLayout w:type="fixed"/>
        <w:tblCellMar>
          <w:top w:w="58" w:type="dxa"/>
          <w:start w:w="58" w:type="dxa"/>
          <w:bottom w:w="58" w:type="dxa"/>
          <w:end w:w="58" w:type="dxa"/>
        </w:tblCellMar>
      </w:tblPr>
      <w:tblGrid>
        <w:gridCol w:w="481"/>
        <w:gridCol w:w="985"/>
        <w:gridCol w:w="1597"/>
        <w:gridCol w:w="3921"/>
        <w:gridCol w:w="4546"/>
        <w:gridCol w:w="4402"/>
      </w:tblGrid>
      <w:tr>
        <w:trPr>
          <w:tblHeader w:val="true"/>
          <w:cantSplit/>
        </w:trPr>
        <w:tc>
          <w:tcPr>
            <w:tcW w:w="481" w:type="dxa"/>
            <w:tcBorders>
              <w:top w:val="single" w:sz="4" w:space="0" w:color="000000"/>
              <w:start w:val="single" w:sz="4" w:space="0" w:color="000000"/>
              <w:bottom w:val="single" w:sz="4" w:space="0" w:color="000000"/>
            </w:tcBorders>
            <w:vAlign w:val="center"/>
          </w:tcPr>
          <w:p>
            <w:pPr>
              <w:pStyle w:val="TableHeading"/>
              <w:rPr/>
            </w:pPr>
            <w:r>
              <w:rPr/>
              <w:t>#</w:t>
            </w:r>
          </w:p>
        </w:tc>
        <w:tc>
          <w:tcPr>
            <w:tcW w:w="985" w:type="dxa"/>
            <w:tcBorders>
              <w:top w:val="single" w:sz="4" w:space="0" w:color="000000"/>
              <w:start w:val="single" w:sz="4" w:space="0" w:color="000000"/>
              <w:bottom w:val="single" w:sz="4" w:space="0" w:color="000000"/>
            </w:tcBorders>
            <w:vAlign w:val="center"/>
          </w:tcPr>
          <w:p>
            <w:pPr>
              <w:pStyle w:val="TableHeading"/>
              <w:rPr/>
            </w:pPr>
            <w:r>
              <w:rPr/>
              <w:t>Section</w:t>
            </w:r>
          </w:p>
        </w:tc>
        <w:tc>
          <w:tcPr>
            <w:tcW w:w="1597" w:type="dxa"/>
            <w:tcBorders>
              <w:top w:val="single" w:sz="4" w:space="0" w:color="000000"/>
              <w:start w:val="single" w:sz="4" w:space="0" w:color="000000"/>
              <w:bottom w:val="single" w:sz="4" w:space="0" w:color="000000"/>
            </w:tcBorders>
            <w:vAlign w:val="center"/>
          </w:tcPr>
          <w:p>
            <w:pPr>
              <w:pStyle w:val="TableHeading"/>
              <w:rPr/>
            </w:pPr>
            <w:r>
              <w:rPr/>
              <w:t>Issue Type</w:t>
            </w:r>
          </w:p>
        </w:tc>
        <w:tc>
          <w:tcPr>
            <w:tcW w:w="3921" w:type="dxa"/>
            <w:tcBorders>
              <w:top w:val="single" w:sz="4" w:space="0" w:color="000000"/>
              <w:start w:val="single" w:sz="4" w:space="0" w:color="000000"/>
              <w:bottom w:val="single" w:sz="4" w:space="0" w:color="000000"/>
            </w:tcBorders>
            <w:vAlign w:val="center"/>
          </w:tcPr>
          <w:p>
            <w:pPr>
              <w:pStyle w:val="TableHeading"/>
              <w:rPr/>
            </w:pPr>
            <w:r>
              <w:rPr/>
              <w:t>Problem Description</w:t>
            </w:r>
          </w:p>
        </w:tc>
        <w:tc>
          <w:tcPr>
            <w:tcW w:w="4546" w:type="dxa"/>
            <w:tcBorders>
              <w:top w:val="single" w:sz="4" w:space="0" w:color="000000"/>
              <w:start w:val="single" w:sz="4" w:space="0" w:color="000000"/>
              <w:bottom w:val="single" w:sz="4" w:space="0" w:color="000000"/>
            </w:tcBorders>
            <w:vAlign w:val="center"/>
          </w:tcPr>
          <w:p>
            <w:pPr>
              <w:pStyle w:val="TableHeading"/>
              <w:rPr/>
            </w:pPr>
            <w:r>
              <w:rPr/>
              <w:t>Proposed Amendment</w:t>
            </w:r>
          </w:p>
        </w:tc>
        <w:tc>
          <w:tcPr>
            <w:tcW w:w="4402" w:type="dxa"/>
            <w:tcBorders>
              <w:top w:val="single" w:sz="4" w:space="0" w:color="000000"/>
              <w:start w:val="single" w:sz="4" w:space="0" w:color="000000"/>
              <w:bottom w:val="single" w:sz="4" w:space="0" w:color="000000"/>
              <w:end w:val="single" w:sz="4" w:space="0" w:color="000000"/>
            </w:tcBorders>
            <w:vAlign w:val="center"/>
          </w:tcPr>
          <w:p>
            <w:pPr>
              <w:pStyle w:val="TableHeading"/>
              <w:rPr/>
            </w:pPr>
            <w:r>
              <w:rPr/>
              <w:t>Justification</w:t>
            </w:r>
          </w:p>
        </w:tc>
      </w:tr>
      <w:tr>
        <w:trPr>
          <w:cantSplit/>
        </w:trPr>
        <w:tc>
          <w:tcPr>
            <w:tcW w:w="481" w:type="dxa"/>
            <w:tcBorders>
              <w:start w:val="single" w:sz="4" w:space="0" w:color="000000"/>
              <w:bottom w:val="single" w:sz="4" w:space="0" w:color="000000"/>
            </w:tcBorders>
            <w:vAlign w:val="center"/>
          </w:tcPr>
          <w:p>
            <w:pPr>
              <w:pStyle w:val="TableContents"/>
              <w:rPr/>
            </w:pPr>
            <w:r>
              <w:rPr/>
              <w:t>1</w:t>
            </w:r>
          </w:p>
        </w:tc>
        <w:tc>
          <w:tcPr>
            <w:tcW w:w="985" w:type="dxa"/>
            <w:tcBorders>
              <w:start w:val="single" w:sz="4" w:space="0" w:color="000000"/>
              <w:bottom w:val="single" w:sz="4" w:space="0" w:color="000000"/>
            </w:tcBorders>
            <w:vAlign w:val="center"/>
          </w:tcPr>
          <w:p>
            <w:pPr>
              <w:pStyle w:val="TableContents"/>
              <w:rPr/>
            </w:pPr>
            <w:r>
              <w:rPr/>
              <w:t>Preamble</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No Statement of Objects and Reasons (SOR) provided for the Act or for individual sections.</w:t>
            </w:r>
          </w:p>
        </w:tc>
        <w:tc>
          <w:tcPr>
            <w:tcW w:w="4546" w:type="dxa"/>
            <w:tcBorders>
              <w:start w:val="single" w:sz="4" w:space="0" w:color="000000"/>
              <w:bottom w:val="single" w:sz="4" w:space="0" w:color="000000"/>
            </w:tcBorders>
            <w:vAlign w:val="center"/>
          </w:tcPr>
          <w:p>
            <w:pPr>
              <w:pStyle w:val="TableContents"/>
              <w:rPr/>
            </w:pPr>
            <w:r>
              <w:rPr/>
              <w:t>Provide a statement of objects: (a) for the Act as a whole; (b) for each section.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Helps in harmonious construction. Statement of objects helps understand legislative intent, which in turn helps courts interpret the Act constructively.</w:t>
            </w:r>
          </w:p>
        </w:tc>
      </w:tr>
      <w:tr>
        <w:trPr>
          <w:cantSplit/>
        </w:trPr>
        <w:tc>
          <w:tcPr>
            <w:tcW w:w="481" w:type="dxa"/>
            <w:tcBorders>
              <w:start w:val="single" w:sz="4" w:space="0" w:color="000000"/>
              <w:bottom w:val="single" w:sz="4" w:space="0" w:color="000000"/>
            </w:tcBorders>
            <w:vAlign w:val="center"/>
          </w:tcPr>
          <w:p>
            <w:pPr>
              <w:pStyle w:val="TableContents"/>
              <w:rPr/>
            </w:pPr>
            <w:r>
              <w:rPr/>
              <w:t>2</w:t>
            </w:r>
          </w:p>
        </w:tc>
        <w:tc>
          <w:tcPr>
            <w:tcW w:w="985" w:type="dxa"/>
            <w:tcBorders>
              <w:start w:val="single" w:sz="4" w:space="0" w:color="000000"/>
              <w:bottom w:val="single" w:sz="4" w:space="0" w:color="000000"/>
            </w:tcBorders>
            <w:vAlign w:val="center"/>
          </w:tcPr>
          <w:p>
            <w:pPr>
              <w:pStyle w:val="TableContents"/>
              <w:rPr/>
            </w:pPr>
            <w:r>
              <w:rPr/>
              <w:t>1(5)</w:t>
            </w:r>
          </w:p>
        </w:tc>
        <w:tc>
          <w:tcPr>
            <w:tcW w:w="1597" w:type="dxa"/>
            <w:tcBorders>
              <w:start w:val="single" w:sz="4" w:space="0" w:color="000000"/>
              <w:bottom w:val="single" w:sz="4" w:space="0" w:color="000000"/>
            </w:tcBorders>
            <w:vAlign w:val="center"/>
          </w:tcPr>
          <w:p>
            <w:pPr>
              <w:pStyle w:val="TableContents"/>
              <w:rPr/>
            </w:pPr>
            <w:r>
              <w:rPr/>
              <w:t>Applicability</w:t>
            </w:r>
          </w:p>
        </w:tc>
        <w:tc>
          <w:tcPr>
            <w:tcW w:w="3921" w:type="dxa"/>
            <w:tcBorders>
              <w:start w:val="single" w:sz="4" w:space="0" w:color="000000"/>
              <w:bottom w:val="single" w:sz="4" w:space="0" w:color="000000"/>
            </w:tcBorders>
            <w:vAlign w:val="center"/>
          </w:tcPr>
          <w:p>
            <w:pPr>
              <w:pStyle w:val="TableContents"/>
              <w:rPr/>
            </w:pPr>
            <w:r>
              <w:rPr/>
              <w:t>Exemption for plotted/villa developments does not explicitly exempt phased projects, township projects, and projects where land is divided by public roads.</w:t>
            </w:r>
          </w:p>
        </w:tc>
        <w:tc>
          <w:tcPr>
            <w:tcW w:w="4546" w:type="dxa"/>
            <w:tcBorders>
              <w:start w:val="single" w:sz="4" w:space="0" w:color="000000"/>
              <w:bottom w:val="single" w:sz="4" w:space="0" w:color="000000"/>
            </w:tcBorders>
            <w:vAlign w:val="center"/>
          </w:tcPr>
          <w:p>
            <w:pPr>
              <w:pStyle w:val="TableContents"/>
              <w:rPr/>
            </w:pPr>
            <w:r>
              <w:rPr/>
              <w:t>Explicitly exempt: Phased projects, township projects, and projects where land is divided by public roads.</w:t>
            </w:r>
          </w:p>
        </w:tc>
        <w:tc>
          <w:tcPr>
            <w:tcW w:w="4402" w:type="dxa"/>
            <w:tcBorders>
              <w:start w:val="single" w:sz="4" w:space="0" w:color="000000"/>
              <w:bottom w:val="single" w:sz="4" w:space="0" w:color="000000"/>
              <w:end w:val="single" w:sz="4" w:space="0" w:color="000000"/>
            </w:tcBorders>
            <w:vAlign w:val="center"/>
          </w:tcPr>
          <w:p>
            <w:pPr>
              <w:pStyle w:val="TableContents"/>
              <w:rPr/>
            </w:pPr>
            <w:r>
              <w:rPr/>
              <w:t>Practical Impossibility: If public roads divide parcels, common facilities cannot be shared across parcels because pipes, cables, and utilities cannot legally be laid across public roads. Such projects cannot physically comply with KAOMA's common area management requirements. In large projects and townships, shared ownership of a clubhouse at the other end has no meaning.</w:t>
            </w:r>
          </w:p>
        </w:tc>
      </w:tr>
      <w:tr>
        <w:trPr>
          <w:cantSplit/>
        </w:trPr>
        <w:tc>
          <w:tcPr>
            <w:tcW w:w="481" w:type="dxa"/>
            <w:tcBorders>
              <w:start w:val="single" w:sz="4" w:space="0" w:color="000000"/>
              <w:bottom w:val="single" w:sz="4" w:space="0" w:color="000000"/>
            </w:tcBorders>
            <w:vAlign w:val="center"/>
          </w:tcPr>
          <w:p>
            <w:pPr>
              <w:pStyle w:val="TableContents"/>
              <w:rPr/>
            </w:pPr>
            <w:r>
              <w:rPr/>
              <w:t>3</w:t>
            </w:r>
          </w:p>
        </w:tc>
        <w:tc>
          <w:tcPr>
            <w:tcW w:w="985" w:type="dxa"/>
            <w:tcBorders>
              <w:start w:val="single" w:sz="4" w:space="0" w:color="000000"/>
              <w:bottom w:val="single" w:sz="4" w:space="0" w:color="000000"/>
            </w:tcBorders>
            <w:vAlign w:val="center"/>
          </w:tcPr>
          <w:p>
            <w:pPr>
              <w:pStyle w:val="TableContents"/>
              <w:rPr/>
            </w:pPr>
            <w:r>
              <w:rPr/>
              <w:t>2(a)</w:t>
            </w:r>
          </w:p>
        </w:tc>
        <w:tc>
          <w:tcPr>
            <w:tcW w:w="1597" w:type="dxa"/>
            <w:tcBorders>
              <w:start w:val="single" w:sz="4" w:space="0" w:color="000000"/>
              <w:bottom w:val="single" w:sz="4" w:space="0" w:color="000000"/>
            </w:tcBorders>
            <w:vAlign w:val="center"/>
          </w:tcPr>
          <w:p>
            <w:pPr>
              <w:pStyle w:val="TableContents"/>
              <w:rPr/>
            </w:pPr>
            <w:r>
              <w:rPr/>
              <w:t>Definitional</w:t>
            </w:r>
          </w:p>
        </w:tc>
        <w:tc>
          <w:tcPr>
            <w:tcW w:w="3921" w:type="dxa"/>
            <w:tcBorders>
              <w:start w:val="single" w:sz="4" w:space="0" w:color="000000"/>
              <w:bottom w:val="single" w:sz="4" w:space="0" w:color="000000"/>
            </w:tcBorders>
            <w:vAlign w:val="center"/>
          </w:tcPr>
          <w:p>
            <w:pPr>
              <w:pStyle w:val="TableContents"/>
              <w:rPr/>
            </w:pPr>
            <w:r>
              <w:rPr/>
              <w:t>The expression "lease or leave and licence" is confusing without an Oxford comma.</w:t>
            </w:r>
          </w:p>
        </w:tc>
        <w:tc>
          <w:tcPr>
            <w:tcW w:w="4546" w:type="dxa"/>
            <w:tcBorders>
              <w:start w:val="single" w:sz="4" w:space="0" w:color="000000"/>
              <w:bottom w:val="single" w:sz="4" w:space="0" w:color="000000"/>
            </w:tcBorders>
            <w:vAlign w:val="center"/>
          </w:tcPr>
          <w:p>
            <w:pPr>
              <w:pStyle w:val="TableContents"/>
              <w:rPr/>
            </w:pPr>
            <w:r>
              <w:rPr/>
              <w:t>Insert a comma after "lease": "...lease, or leave and licence"</w:t>
            </w:r>
          </w:p>
        </w:tc>
        <w:tc>
          <w:tcPr>
            <w:tcW w:w="4402" w:type="dxa"/>
            <w:tcBorders>
              <w:start w:val="single" w:sz="4" w:space="0" w:color="000000"/>
              <w:bottom w:val="single" w:sz="4" w:space="0" w:color="000000"/>
              <w:end w:val="single" w:sz="4" w:space="0" w:color="000000"/>
            </w:tcBorders>
            <w:vAlign w:val="center"/>
          </w:tcPr>
          <w:p>
            <w:pPr>
              <w:pStyle w:val="TableContents"/>
              <w:rPr/>
            </w:pPr>
            <w:r>
              <w:rPr/>
              <w:t>Drafting Clarity: Prevents misinterpretation of the clause structure.</w:t>
            </w:r>
          </w:p>
        </w:tc>
      </w:tr>
      <w:tr>
        <w:trPr>
          <w:cantSplit/>
        </w:trPr>
        <w:tc>
          <w:tcPr>
            <w:tcW w:w="481" w:type="dxa"/>
            <w:tcBorders>
              <w:start w:val="single" w:sz="4" w:space="0" w:color="000000"/>
              <w:bottom w:val="single" w:sz="4" w:space="0" w:color="000000"/>
            </w:tcBorders>
            <w:vAlign w:val="center"/>
          </w:tcPr>
          <w:p>
            <w:pPr>
              <w:pStyle w:val="TableContents"/>
              <w:rPr/>
            </w:pPr>
            <w:r>
              <w:rPr/>
              <w:t>4</w:t>
            </w:r>
          </w:p>
        </w:tc>
        <w:tc>
          <w:tcPr>
            <w:tcW w:w="985" w:type="dxa"/>
            <w:tcBorders>
              <w:start w:val="single" w:sz="4" w:space="0" w:color="000000"/>
              <w:bottom w:val="single" w:sz="4" w:space="0" w:color="000000"/>
            </w:tcBorders>
            <w:vAlign w:val="center"/>
          </w:tcPr>
          <w:p>
            <w:pPr>
              <w:pStyle w:val="TableContents"/>
              <w:rPr/>
            </w:pPr>
            <w:r>
              <w:rPr/>
              <w:t>2(b)</w:t>
            </w:r>
          </w:p>
        </w:tc>
        <w:tc>
          <w:tcPr>
            <w:tcW w:w="1597" w:type="dxa"/>
            <w:tcBorders>
              <w:start w:val="single" w:sz="4" w:space="0" w:color="000000"/>
              <w:bottom w:val="single" w:sz="4" w:space="0" w:color="000000"/>
            </w:tcBorders>
            <w:vAlign w:val="center"/>
          </w:tcPr>
          <w:p>
            <w:pPr>
              <w:pStyle w:val="TableContents"/>
              <w:rPr/>
            </w:pPr>
            <w:r>
              <w:rPr/>
              <w:t>Definitional</w:t>
            </w:r>
          </w:p>
        </w:tc>
        <w:tc>
          <w:tcPr>
            <w:tcW w:w="3921" w:type="dxa"/>
            <w:tcBorders>
              <w:start w:val="single" w:sz="4" w:space="0" w:color="000000"/>
              <w:bottom w:val="single" w:sz="4" w:space="0" w:color="000000"/>
            </w:tcBorders>
            <w:vAlign w:val="center"/>
          </w:tcPr>
          <w:p>
            <w:pPr>
              <w:pStyle w:val="TableContents"/>
              <w:rPr/>
            </w:pPr>
            <w:r>
              <w:rPr/>
              <w:t>"Attached vehicle parking spaces" - "Attached" means physically joined, which is a misinterpretation.</w:t>
            </w:r>
          </w:p>
        </w:tc>
        <w:tc>
          <w:tcPr>
            <w:tcW w:w="4546" w:type="dxa"/>
            <w:tcBorders>
              <w:start w:val="single" w:sz="4" w:space="0" w:color="000000"/>
              <w:bottom w:val="single" w:sz="4" w:space="0" w:color="000000"/>
            </w:tcBorders>
            <w:vAlign w:val="center"/>
          </w:tcPr>
          <w:p>
            <w:pPr>
              <w:pStyle w:val="TableContents"/>
              <w:rPr/>
            </w:pPr>
            <w:r>
              <w:rPr/>
              <w:t>Change "attached" to "appurtenant"</w:t>
            </w:r>
          </w:p>
        </w:tc>
        <w:tc>
          <w:tcPr>
            <w:tcW w:w="4402" w:type="dxa"/>
            <w:tcBorders>
              <w:start w:val="single" w:sz="4" w:space="0" w:color="000000"/>
              <w:bottom w:val="single" w:sz="4" w:space="0" w:color="000000"/>
              <w:end w:val="single" w:sz="4" w:space="0" w:color="000000"/>
            </w:tcBorders>
            <w:vAlign w:val="center"/>
          </w:tcPr>
          <w:p>
            <w:pPr>
              <w:pStyle w:val="TableContents"/>
              <w:rPr/>
            </w:pPr>
            <w:r>
              <w:rPr/>
              <w:t>Risk of misinterpretation: "Attached" means "physically joined" whereas "appurtenant" means "logically combined" or "considered a part of the whole."</w:t>
            </w:r>
          </w:p>
        </w:tc>
      </w:tr>
      <w:tr>
        <w:trPr>
          <w:cantSplit/>
        </w:trPr>
        <w:tc>
          <w:tcPr>
            <w:tcW w:w="481" w:type="dxa"/>
            <w:tcBorders>
              <w:start w:val="single" w:sz="4" w:space="0" w:color="000000"/>
              <w:bottom w:val="single" w:sz="4" w:space="0" w:color="000000"/>
            </w:tcBorders>
            <w:vAlign w:val="center"/>
          </w:tcPr>
          <w:p>
            <w:pPr>
              <w:pStyle w:val="TableContents"/>
              <w:rPr/>
            </w:pPr>
            <w:r>
              <w:rPr/>
              <w:t>5</w:t>
            </w:r>
          </w:p>
        </w:tc>
        <w:tc>
          <w:tcPr>
            <w:tcW w:w="985" w:type="dxa"/>
            <w:tcBorders>
              <w:start w:val="single" w:sz="4" w:space="0" w:color="000000"/>
              <w:bottom w:val="single" w:sz="4" w:space="0" w:color="000000"/>
            </w:tcBorders>
            <w:vAlign w:val="center"/>
          </w:tcPr>
          <w:p>
            <w:pPr>
              <w:pStyle w:val="TableContents"/>
              <w:rPr/>
            </w:pPr>
            <w:r>
              <w:rPr/>
              <w:t>2(b)</w:t>
            </w:r>
          </w:p>
        </w:tc>
        <w:tc>
          <w:tcPr>
            <w:tcW w:w="1597" w:type="dxa"/>
            <w:tcBorders>
              <w:start w:val="single" w:sz="4" w:space="0" w:color="000000"/>
              <w:bottom w:val="single" w:sz="4" w:space="0" w:color="000000"/>
            </w:tcBorders>
            <w:vAlign w:val="center"/>
          </w:tcPr>
          <w:p>
            <w:pPr>
              <w:pStyle w:val="TableContents"/>
              <w:rPr/>
            </w:pPr>
            <w:r>
              <w:rPr/>
              <w:t>Definitional</w:t>
            </w:r>
          </w:p>
        </w:tc>
        <w:tc>
          <w:tcPr>
            <w:tcW w:w="3921" w:type="dxa"/>
            <w:tcBorders>
              <w:start w:val="single" w:sz="4" w:space="0" w:color="000000"/>
              <w:bottom w:val="single" w:sz="4" w:space="0" w:color="000000"/>
            </w:tcBorders>
            <w:vAlign w:val="center"/>
          </w:tcPr>
          <w:p>
            <w:pPr>
              <w:pStyle w:val="TableContents"/>
              <w:rPr/>
            </w:pPr>
            <w:r>
              <w:rPr/>
              <w:t>The definition allows a parking slot to be sold as a stand-alone unit, enabling bifurcation and sale to outsiders.</w:t>
            </w:r>
          </w:p>
        </w:tc>
        <w:tc>
          <w:tcPr>
            <w:tcW w:w="4546" w:type="dxa"/>
            <w:tcBorders>
              <w:start w:val="single" w:sz="4" w:space="0" w:color="000000"/>
              <w:bottom w:val="single" w:sz="4" w:space="0" w:color="000000"/>
            </w:tcBorders>
            <w:vAlign w:val="center"/>
          </w:tcPr>
          <w:p>
            <w:pPr>
              <w:pStyle w:val="TableContents"/>
              <w:rPr/>
            </w:pPr>
            <w:r>
              <w:rPr/>
              <w:t>Remove "...where so provided in the declaration or the deed of transfer" from the definition. LCAs must be declared in the Declaration; Sale Deeds must have matching entries.</w:t>
            </w:r>
          </w:p>
        </w:tc>
        <w:tc>
          <w:tcPr>
            <w:tcW w:w="4402" w:type="dxa"/>
            <w:tcBorders>
              <w:start w:val="single" w:sz="4" w:space="0" w:color="000000"/>
              <w:bottom w:val="single" w:sz="4" w:space="0" w:color="000000"/>
              <w:end w:val="single" w:sz="4" w:space="0" w:color="000000"/>
            </w:tcBorders>
            <w:vAlign w:val="center"/>
          </w:tcPr>
          <w:p>
            <w:pPr>
              <w:pStyle w:val="TableContents"/>
              <w:rPr/>
            </w:pPr>
            <w:r>
              <w:rPr/>
              <w:t>Leaves scope for encroachment. This ambiguous definition creates uncertainty about where appurtenant Limited Common Areas (LCAs) are declared, enabling sale of common areas as LCAs. If LCA list is declared in Declaration, promoter cannot tamper with it later.</w:t>
            </w:r>
          </w:p>
        </w:tc>
      </w:tr>
      <w:tr>
        <w:trPr>
          <w:cantSplit/>
        </w:trPr>
        <w:tc>
          <w:tcPr>
            <w:tcW w:w="481" w:type="dxa"/>
            <w:tcBorders>
              <w:start w:val="single" w:sz="4" w:space="0" w:color="000000"/>
              <w:bottom w:val="single" w:sz="4" w:space="0" w:color="000000"/>
            </w:tcBorders>
            <w:vAlign w:val="center"/>
          </w:tcPr>
          <w:p>
            <w:pPr>
              <w:pStyle w:val="TableContents"/>
              <w:rPr/>
            </w:pPr>
            <w:r>
              <w:rPr/>
              <w:t>6</w:t>
            </w:r>
          </w:p>
        </w:tc>
        <w:tc>
          <w:tcPr>
            <w:tcW w:w="985" w:type="dxa"/>
            <w:tcBorders>
              <w:start w:val="single" w:sz="4" w:space="0" w:color="000000"/>
              <w:bottom w:val="single" w:sz="4" w:space="0" w:color="000000"/>
            </w:tcBorders>
            <w:vAlign w:val="center"/>
          </w:tcPr>
          <w:p>
            <w:pPr>
              <w:pStyle w:val="TableContents"/>
              <w:rPr/>
            </w:pPr>
            <w:r>
              <w:rPr/>
              <w:t>2(i)</w:t>
            </w:r>
          </w:p>
        </w:tc>
        <w:tc>
          <w:tcPr>
            <w:tcW w:w="1597" w:type="dxa"/>
            <w:tcBorders>
              <w:start w:val="single" w:sz="4" w:space="0" w:color="000000"/>
              <w:bottom w:val="single" w:sz="4" w:space="0" w:color="000000"/>
            </w:tcBorders>
            <w:vAlign w:val="center"/>
          </w:tcPr>
          <w:p>
            <w:pPr>
              <w:pStyle w:val="TableContents"/>
              <w:rPr/>
            </w:pPr>
            <w:r>
              <w:rPr/>
              <w:t>Constitutional/RERA</w:t>
            </w:r>
          </w:p>
        </w:tc>
        <w:tc>
          <w:tcPr>
            <w:tcW w:w="3921" w:type="dxa"/>
            <w:tcBorders>
              <w:start w:val="single" w:sz="4" w:space="0" w:color="000000"/>
              <w:bottom w:val="single" w:sz="4" w:space="0" w:color="000000"/>
            </w:tcBorders>
            <w:vAlign w:val="center"/>
          </w:tcPr>
          <w:p>
            <w:pPr>
              <w:pStyle w:val="TableContents"/>
              <w:rPr/>
            </w:pPr>
            <w:r>
              <w:rPr/>
              <w:t>"Common areas and facilities" definition omits land. This is repugnant to RERA#2(n)(i) which includes land.</w:t>
            </w:r>
          </w:p>
        </w:tc>
        <w:tc>
          <w:tcPr>
            <w:tcW w:w="4546" w:type="dxa"/>
            <w:tcBorders>
              <w:start w:val="single" w:sz="4" w:space="0" w:color="000000"/>
              <w:bottom w:val="single" w:sz="4" w:space="0" w:color="000000"/>
            </w:tcBorders>
            <w:vAlign w:val="center"/>
          </w:tcPr>
          <w:p>
            <w:pPr>
              <w:pStyle w:val="TableContents"/>
              <w:rPr/>
            </w:pPr>
            <w:r>
              <w:rPr/>
              <w:t>Add "the land of the project, including the site on which the building is constructed," as the first item in the definition of Common areas and facilities.</w:t>
            </w:r>
          </w:p>
        </w:tc>
        <w:tc>
          <w:tcPr>
            <w:tcW w:w="4402" w:type="dxa"/>
            <w:tcBorders>
              <w:start w:val="single" w:sz="4" w:space="0" w:color="000000"/>
              <w:bottom w:val="single" w:sz="4" w:space="0" w:color="000000"/>
              <w:end w:val="single" w:sz="4" w:space="0" w:color="000000"/>
            </w:tcBorders>
            <w:vAlign w:val="center"/>
          </w:tcPr>
          <w:p>
            <w:pPr>
              <w:pStyle w:val="TableContents"/>
              <w:rPr/>
            </w:pPr>
            <w:r>
              <w:rPr/>
              <w:t>Constitutional Conflict: RERA says land is part of common areas; KAOMA says land is not. RERA prevails under Article 254. Creates ownership ambiguity and title defects.</w:t>
            </w:r>
          </w:p>
        </w:tc>
      </w:tr>
      <w:tr>
        <w:trPr>
          <w:cantSplit/>
        </w:trPr>
        <w:tc>
          <w:tcPr>
            <w:tcW w:w="481" w:type="dxa"/>
            <w:tcBorders>
              <w:start w:val="single" w:sz="4" w:space="0" w:color="000000"/>
              <w:bottom w:val="single" w:sz="4" w:space="0" w:color="000000"/>
            </w:tcBorders>
            <w:vAlign w:val="center"/>
          </w:tcPr>
          <w:p>
            <w:pPr>
              <w:pStyle w:val="TableContents"/>
              <w:rPr/>
            </w:pPr>
            <w:r>
              <w:rPr/>
              <w:t>7</w:t>
            </w:r>
          </w:p>
        </w:tc>
        <w:tc>
          <w:tcPr>
            <w:tcW w:w="985" w:type="dxa"/>
            <w:tcBorders>
              <w:start w:val="single" w:sz="4" w:space="0" w:color="000000"/>
              <w:bottom w:val="single" w:sz="4" w:space="0" w:color="000000"/>
            </w:tcBorders>
            <w:vAlign w:val="center"/>
          </w:tcPr>
          <w:p>
            <w:pPr>
              <w:pStyle w:val="TableContents"/>
              <w:rPr/>
            </w:pPr>
            <w:r>
              <w:rPr/>
              <w:t>2(i)</w:t>
            </w:r>
          </w:p>
        </w:tc>
        <w:tc>
          <w:tcPr>
            <w:tcW w:w="1597" w:type="dxa"/>
            <w:tcBorders>
              <w:start w:val="single" w:sz="4" w:space="0" w:color="000000"/>
              <w:bottom w:val="single" w:sz="4" w:space="0" w:color="000000"/>
            </w:tcBorders>
            <w:vAlign w:val="center"/>
          </w:tcPr>
          <w:p>
            <w:pPr>
              <w:pStyle w:val="TableContents"/>
              <w:rPr/>
            </w:pPr>
            <w:r>
              <w:rPr/>
              <w:t>Definitional</w:t>
            </w:r>
          </w:p>
        </w:tc>
        <w:tc>
          <w:tcPr>
            <w:tcW w:w="3921" w:type="dxa"/>
            <w:tcBorders>
              <w:start w:val="single" w:sz="4" w:space="0" w:color="000000"/>
              <w:bottom w:val="single" w:sz="4" w:space="0" w:color="000000"/>
            </w:tcBorders>
            <w:vAlign w:val="center"/>
          </w:tcPr>
          <w:p>
            <w:pPr>
              <w:pStyle w:val="TableContents"/>
              <w:rPr/>
            </w:pPr>
            <w:r>
              <w:rPr/>
              <w:t>Trees and plants are missing from the definition of common areas and facilities.</w:t>
            </w:r>
          </w:p>
        </w:tc>
        <w:tc>
          <w:tcPr>
            <w:tcW w:w="4546" w:type="dxa"/>
            <w:tcBorders>
              <w:start w:val="single" w:sz="4" w:space="0" w:color="000000"/>
              <w:bottom w:val="single" w:sz="4" w:space="0" w:color="000000"/>
            </w:tcBorders>
            <w:vAlign w:val="center"/>
          </w:tcPr>
          <w:p>
            <w:pPr>
              <w:pStyle w:val="TableContents"/>
              <w:rPr/>
            </w:pPr>
            <w:r>
              <w:rPr/>
              <w:t>Add "trees and plants standing on the land" to the definition.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Property Law Gap: Under property law, trees and plants are part of the land. Their omission creates ambiguity about ownership and maintenance responsibility.</w:t>
            </w:r>
          </w:p>
        </w:tc>
      </w:tr>
      <w:tr>
        <w:trPr>
          <w:cantSplit/>
        </w:trPr>
        <w:tc>
          <w:tcPr>
            <w:tcW w:w="481" w:type="dxa"/>
            <w:tcBorders>
              <w:start w:val="single" w:sz="4" w:space="0" w:color="000000"/>
              <w:bottom w:val="single" w:sz="4" w:space="0" w:color="000000"/>
            </w:tcBorders>
            <w:vAlign w:val="center"/>
          </w:tcPr>
          <w:p>
            <w:pPr>
              <w:pStyle w:val="TableContents"/>
              <w:rPr/>
            </w:pPr>
            <w:r>
              <w:rPr/>
              <w:t>8</w:t>
            </w:r>
          </w:p>
        </w:tc>
        <w:tc>
          <w:tcPr>
            <w:tcW w:w="985" w:type="dxa"/>
            <w:tcBorders>
              <w:start w:val="single" w:sz="4" w:space="0" w:color="000000"/>
              <w:bottom w:val="single" w:sz="4" w:space="0" w:color="000000"/>
            </w:tcBorders>
            <w:vAlign w:val="center"/>
          </w:tcPr>
          <w:p>
            <w:pPr>
              <w:pStyle w:val="TableContents"/>
              <w:rPr/>
            </w:pPr>
            <w:r>
              <w:rPr/>
              <w:t>2(i)</w:t>
            </w:r>
          </w:p>
        </w:tc>
        <w:tc>
          <w:tcPr>
            <w:tcW w:w="1597" w:type="dxa"/>
            <w:tcBorders>
              <w:start w:val="single" w:sz="4" w:space="0" w:color="000000"/>
              <w:bottom w:val="single" w:sz="4" w:space="0" w:color="000000"/>
            </w:tcBorders>
            <w:vAlign w:val="center"/>
          </w:tcPr>
          <w:p>
            <w:pPr>
              <w:pStyle w:val="TableContents"/>
              <w:rPr/>
            </w:pPr>
            <w:r>
              <w:rPr/>
              <w:t>Definitional</w:t>
            </w:r>
          </w:p>
        </w:tc>
        <w:tc>
          <w:tcPr>
            <w:tcW w:w="3921" w:type="dxa"/>
            <w:tcBorders>
              <w:start w:val="single" w:sz="4" w:space="0" w:color="000000"/>
              <w:bottom w:val="single" w:sz="4" w:space="0" w:color="000000"/>
            </w:tcBorders>
            <w:vAlign w:val="center"/>
          </w:tcPr>
          <w:p>
            <w:pPr>
              <w:pStyle w:val="TableContents"/>
              <w:rPr/>
            </w:pPr>
            <w:r>
              <w:rPr/>
              <w:t>Limited Common Areas (LCAs) are not defined anywhere in the Act.</w:t>
            </w:r>
          </w:p>
        </w:tc>
        <w:tc>
          <w:tcPr>
            <w:tcW w:w="4546" w:type="dxa"/>
            <w:tcBorders>
              <w:start w:val="single" w:sz="4" w:space="0" w:color="000000"/>
              <w:bottom w:val="single" w:sz="4" w:space="0" w:color="000000"/>
            </w:tcBorders>
            <w:vAlign w:val="center"/>
          </w:tcPr>
          <w:p>
            <w:pPr>
              <w:pStyle w:val="TableContents"/>
              <w:rPr/>
            </w:pPr>
            <w:r>
              <w:rPr/>
              <w:t>Add the definition of LCA. Also add that an LCA "is a" type of common area.</w:t>
            </w:r>
          </w:p>
        </w:tc>
        <w:tc>
          <w:tcPr>
            <w:tcW w:w="4402" w:type="dxa"/>
            <w:tcBorders>
              <w:start w:val="single" w:sz="4" w:space="0" w:color="000000"/>
              <w:bottom w:val="single" w:sz="4" w:space="0" w:color="000000"/>
              <w:end w:val="single" w:sz="4" w:space="0" w:color="000000"/>
            </w:tcBorders>
            <w:vAlign w:val="center"/>
          </w:tcPr>
          <w:p>
            <w:pPr>
              <w:pStyle w:val="TableContents"/>
              <w:rPr/>
            </w:pPr>
            <w:r>
              <w:rPr/>
              <w:t>By definition, LCA is a common area reserved for use of a specific owner. LCAs are a subset of common areas in the Property. KAOMA#14(1)(e) requires Declaration to list LCAs but there is no definition!</w:t>
            </w:r>
          </w:p>
        </w:tc>
      </w:tr>
      <w:tr>
        <w:trPr>
          <w:cantSplit/>
        </w:trPr>
        <w:tc>
          <w:tcPr>
            <w:tcW w:w="481" w:type="dxa"/>
            <w:tcBorders>
              <w:start w:val="single" w:sz="4" w:space="0" w:color="000000"/>
              <w:bottom w:val="single" w:sz="4" w:space="0" w:color="000000"/>
            </w:tcBorders>
            <w:vAlign w:val="center"/>
          </w:tcPr>
          <w:p>
            <w:pPr>
              <w:pStyle w:val="TableContents"/>
              <w:rPr/>
            </w:pPr>
            <w:r>
              <w:rPr/>
              <w:t>9</w:t>
            </w:r>
          </w:p>
        </w:tc>
        <w:tc>
          <w:tcPr>
            <w:tcW w:w="985" w:type="dxa"/>
            <w:tcBorders>
              <w:start w:val="single" w:sz="4" w:space="0" w:color="000000"/>
              <w:bottom w:val="single" w:sz="4" w:space="0" w:color="000000"/>
            </w:tcBorders>
            <w:vAlign w:val="center"/>
          </w:tcPr>
          <w:p>
            <w:pPr>
              <w:pStyle w:val="TableContents"/>
              <w:rPr/>
            </w:pPr>
            <w:r>
              <w:rPr/>
              <w:t>2(j)</w:t>
            </w:r>
          </w:p>
        </w:tc>
        <w:tc>
          <w:tcPr>
            <w:tcW w:w="1597" w:type="dxa"/>
            <w:tcBorders>
              <w:start w:val="single" w:sz="4" w:space="0" w:color="000000"/>
              <w:bottom w:val="single" w:sz="4" w:space="0" w:color="000000"/>
            </w:tcBorders>
            <w:vAlign w:val="center"/>
          </w:tcPr>
          <w:p>
            <w:pPr>
              <w:pStyle w:val="TableContents"/>
              <w:rPr/>
            </w:pPr>
            <w:r>
              <w:rPr/>
              <w:t>Definitional</w:t>
            </w:r>
          </w:p>
        </w:tc>
        <w:tc>
          <w:tcPr>
            <w:tcW w:w="3921" w:type="dxa"/>
            <w:tcBorders>
              <w:start w:val="single" w:sz="4" w:space="0" w:color="000000"/>
              <w:bottom w:val="single" w:sz="4" w:space="0" w:color="000000"/>
            </w:tcBorders>
            <w:vAlign w:val="center"/>
          </w:tcPr>
          <w:p>
            <w:pPr>
              <w:pStyle w:val="TableContents"/>
              <w:rPr/>
            </w:pPr>
            <w:r>
              <w:rPr/>
              <w:t>"Common capital" does not include sinking funds.</w:t>
            </w:r>
          </w:p>
        </w:tc>
        <w:tc>
          <w:tcPr>
            <w:tcW w:w="4546" w:type="dxa"/>
            <w:tcBorders>
              <w:start w:val="single" w:sz="4" w:space="0" w:color="000000"/>
              <w:bottom w:val="single" w:sz="4" w:space="0" w:color="000000"/>
            </w:tcBorders>
            <w:vAlign w:val="center"/>
          </w:tcPr>
          <w:p>
            <w:pPr>
              <w:pStyle w:val="TableContents"/>
              <w:rPr/>
            </w:pPr>
            <w:r>
              <w:rPr/>
              <w:t>Add "including sinking funds" to the definition.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Missing Essential Component: Sinking funds are a standard and essential part of apartment maintenance for major repairs. Their omission leaves the financial framework incomplete.</w:t>
            </w:r>
          </w:p>
        </w:tc>
      </w:tr>
      <w:tr>
        <w:trPr>
          <w:cantSplit/>
        </w:trPr>
        <w:tc>
          <w:tcPr>
            <w:tcW w:w="481" w:type="dxa"/>
            <w:tcBorders>
              <w:start w:val="single" w:sz="4" w:space="0" w:color="000000"/>
              <w:bottom w:val="single" w:sz="4" w:space="0" w:color="000000"/>
            </w:tcBorders>
            <w:vAlign w:val="center"/>
          </w:tcPr>
          <w:p>
            <w:pPr>
              <w:pStyle w:val="TableContents"/>
              <w:rPr/>
            </w:pPr>
            <w:r>
              <w:rPr/>
              <w:t>10</w:t>
            </w:r>
          </w:p>
        </w:tc>
        <w:tc>
          <w:tcPr>
            <w:tcW w:w="985" w:type="dxa"/>
            <w:tcBorders>
              <w:start w:val="single" w:sz="4" w:space="0" w:color="000000"/>
              <w:bottom w:val="single" w:sz="4" w:space="0" w:color="000000"/>
            </w:tcBorders>
            <w:vAlign w:val="center"/>
          </w:tcPr>
          <w:p>
            <w:pPr>
              <w:pStyle w:val="TableContents"/>
              <w:rPr/>
            </w:pPr>
            <w:r>
              <w:rPr/>
              <w:t>2(k)(ii)</w:t>
            </w:r>
          </w:p>
        </w:tc>
        <w:tc>
          <w:tcPr>
            <w:tcW w:w="1597" w:type="dxa"/>
            <w:tcBorders>
              <w:start w:val="single" w:sz="4" w:space="0" w:color="000000"/>
              <w:bottom w:val="single" w:sz="4" w:space="0" w:color="000000"/>
            </w:tcBorders>
            <w:vAlign w:val="center"/>
          </w:tcPr>
          <w:p>
            <w:pPr>
              <w:pStyle w:val="TableContents"/>
              <w:rPr/>
            </w:pPr>
            <w:r>
              <w:rPr/>
              <w:t>Financial</w:t>
            </w:r>
          </w:p>
        </w:tc>
        <w:tc>
          <w:tcPr>
            <w:tcW w:w="3921" w:type="dxa"/>
            <w:tcBorders>
              <w:start w:val="single" w:sz="4" w:space="0" w:color="000000"/>
              <w:bottom w:val="single" w:sz="4" w:space="0" w:color="000000"/>
            </w:tcBorders>
            <w:vAlign w:val="center"/>
          </w:tcPr>
          <w:p>
            <w:pPr>
              <w:pStyle w:val="TableContents"/>
              <w:rPr/>
            </w:pPr>
            <w:r>
              <w:rPr/>
              <w:t>"Common expenses" includes money spent on improvement of common areas and facilities without requiring General Body approval.</w:t>
            </w:r>
          </w:p>
        </w:tc>
        <w:tc>
          <w:tcPr>
            <w:tcW w:w="4546" w:type="dxa"/>
            <w:tcBorders>
              <w:start w:val="single" w:sz="4" w:space="0" w:color="000000"/>
              <w:bottom w:val="single" w:sz="4" w:space="0" w:color="000000"/>
            </w:tcBorders>
            <w:vAlign w:val="center"/>
          </w:tcPr>
          <w:p>
            <w:pPr>
              <w:pStyle w:val="TableContents"/>
              <w:rPr/>
            </w:pPr>
            <w:r>
              <w:rPr/>
              <w:t>Add: "subject to approval in General Body Meeting"</w:t>
            </w:r>
          </w:p>
        </w:tc>
        <w:tc>
          <w:tcPr>
            <w:tcW w:w="4402" w:type="dxa"/>
            <w:tcBorders>
              <w:start w:val="single" w:sz="4" w:space="0" w:color="000000"/>
              <w:bottom w:val="single" w:sz="4" w:space="0" w:color="000000"/>
              <w:end w:val="single" w:sz="4" w:space="0" w:color="000000"/>
            </w:tcBorders>
            <w:vAlign w:val="center"/>
          </w:tcPr>
          <w:p>
            <w:pPr>
              <w:pStyle w:val="TableContents"/>
              <w:rPr/>
            </w:pPr>
            <w:r>
              <w:rPr/>
              <w:t>Unbridled MC Power: Allowing Executive Committee to unilaterally approve "improvements" (as opposed to repairs) gives carte blanche to spend money on pet projects without owner consent.</w:t>
            </w:r>
          </w:p>
        </w:tc>
      </w:tr>
      <w:tr>
        <w:trPr>
          <w:cantSplit/>
        </w:trPr>
        <w:tc>
          <w:tcPr>
            <w:tcW w:w="481" w:type="dxa"/>
            <w:tcBorders>
              <w:start w:val="single" w:sz="4" w:space="0" w:color="000000"/>
              <w:bottom w:val="single" w:sz="4" w:space="0" w:color="000000"/>
            </w:tcBorders>
            <w:vAlign w:val="center"/>
          </w:tcPr>
          <w:p>
            <w:pPr>
              <w:pStyle w:val="TableContents"/>
              <w:rPr/>
            </w:pPr>
            <w:r>
              <w:rPr/>
              <w:t>11</w:t>
            </w:r>
          </w:p>
        </w:tc>
        <w:tc>
          <w:tcPr>
            <w:tcW w:w="985" w:type="dxa"/>
            <w:tcBorders>
              <w:start w:val="single" w:sz="4" w:space="0" w:color="000000"/>
              <w:bottom w:val="single" w:sz="4" w:space="0" w:color="000000"/>
            </w:tcBorders>
            <w:vAlign w:val="center"/>
          </w:tcPr>
          <w:p>
            <w:pPr>
              <w:pStyle w:val="TableContents"/>
              <w:rPr/>
            </w:pPr>
            <w:r>
              <w:rPr/>
              <w:t>2(l)</w:t>
            </w:r>
          </w:p>
        </w:tc>
        <w:tc>
          <w:tcPr>
            <w:tcW w:w="1597" w:type="dxa"/>
            <w:tcBorders>
              <w:start w:val="single" w:sz="4" w:space="0" w:color="000000"/>
              <w:bottom w:val="single" w:sz="4" w:space="0" w:color="000000"/>
            </w:tcBorders>
            <w:vAlign w:val="center"/>
          </w:tcPr>
          <w:p>
            <w:pPr>
              <w:pStyle w:val="TableContents"/>
              <w:rPr/>
            </w:pPr>
            <w:r>
              <w:rPr/>
              <w:t>Definitional</w:t>
            </w:r>
          </w:p>
        </w:tc>
        <w:tc>
          <w:tcPr>
            <w:tcW w:w="3921" w:type="dxa"/>
            <w:tcBorders>
              <w:start w:val="single" w:sz="4" w:space="0" w:color="000000"/>
              <w:bottom w:val="single" w:sz="4" w:space="0" w:color="000000"/>
            </w:tcBorders>
            <w:vAlign w:val="center"/>
          </w:tcPr>
          <w:p>
            <w:pPr>
              <w:pStyle w:val="TableContents"/>
              <w:rPr/>
            </w:pPr>
            <w:r>
              <w:rPr/>
              <w:t>"Common profit" - missing income from investments.</w:t>
            </w:r>
          </w:p>
        </w:tc>
        <w:tc>
          <w:tcPr>
            <w:tcW w:w="4546" w:type="dxa"/>
            <w:tcBorders>
              <w:start w:val="single" w:sz="4" w:space="0" w:color="000000"/>
              <w:bottom w:val="single" w:sz="4" w:space="0" w:color="000000"/>
            </w:tcBorders>
            <w:vAlign w:val="center"/>
          </w:tcPr>
          <w:p>
            <w:pPr>
              <w:pStyle w:val="TableContents"/>
              <w:rPr/>
            </w:pPr>
            <w:r>
              <w:rPr/>
              <w:t>Add "including income from current/savings accounts and fixed deposits"</w:t>
            </w:r>
          </w:p>
        </w:tc>
        <w:tc>
          <w:tcPr>
            <w:tcW w:w="4402" w:type="dxa"/>
            <w:tcBorders>
              <w:start w:val="single" w:sz="4" w:space="0" w:color="000000"/>
              <w:bottom w:val="single" w:sz="4" w:space="0" w:color="000000"/>
              <w:end w:val="single" w:sz="4" w:space="0" w:color="000000"/>
            </w:tcBorders>
            <w:vAlign w:val="center"/>
          </w:tcPr>
          <w:p>
            <w:pPr>
              <w:pStyle w:val="TableContents"/>
              <w:rPr/>
            </w:pPr>
            <w:r>
              <w:rPr/>
              <w:t>Financial Transparency: Associations earn interest on maintenance funds. This income must be explicitly accounted for as common profit to ensure proper distribution and audit.</w:t>
            </w:r>
          </w:p>
        </w:tc>
      </w:tr>
      <w:tr>
        <w:trPr>
          <w:cantSplit/>
        </w:trPr>
        <w:tc>
          <w:tcPr>
            <w:tcW w:w="481" w:type="dxa"/>
            <w:tcBorders>
              <w:start w:val="single" w:sz="4" w:space="0" w:color="000000"/>
              <w:bottom w:val="single" w:sz="4" w:space="0" w:color="000000"/>
            </w:tcBorders>
            <w:vAlign w:val="center"/>
          </w:tcPr>
          <w:p>
            <w:pPr>
              <w:pStyle w:val="TableContents"/>
              <w:rPr/>
            </w:pPr>
            <w:r>
              <w:rPr/>
              <w:t>12</w:t>
            </w:r>
          </w:p>
        </w:tc>
        <w:tc>
          <w:tcPr>
            <w:tcW w:w="985" w:type="dxa"/>
            <w:tcBorders>
              <w:start w:val="single" w:sz="4" w:space="0" w:color="000000"/>
              <w:bottom w:val="single" w:sz="4" w:space="0" w:color="000000"/>
            </w:tcBorders>
            <w:vAlign w:val="center"/>
          </w:tcPr>
          <w:p>
            <w:pPr>
              <w:pStyle w:val="TableContents"/>
              <w:rPr/>
            </w:pPr>
            <w:r>
              <w:rPr/>
              <w:t>2(m)</w:t>
            </w:r>
          </w:p>
        </w:tc>
        <w:tc>
          <w:tcPr>
            <w:tcW w:w="1597" w:type="dxa"/>
            <w:tcBorders>
              <w:start w:val="single" w:sz="4" w:space="0" w:color="000000"/>
              <w:bottom w:val="single" w:sz="4" w:space="0" w:color="000000"/>
            </w:tcBorders>
            <w:vAlign w:val="center"/>
          </w:tcPr>
          <w:p>
            <w:pPr>
              <w:pStyle w:val="TableContents"/>
              <w:rPr/>
            </w:pPr>
            <w:r>
              <w:rPr/>
              <w:t>Definitional/Commercial</w:t>
            </w:r>
          </w:p>
        </w:tc>
        <w:tc>
          <w:tcPr>
            <w:tcW w:w="3921" w:type="dxa"/>
            <w:tcBorders>
              <w:start w:val="single" w:sz="4" w:space="0" w:color="000000"/>
              <w:bottom w:val="single" w:sz="4" w:space="0" w:color="000000"/>
            </w:tcBorders>
            <w:vAlign w:val="center"/>
          </w:tcPr>
          <w:p>
            <w:pPr>
              <w:pStyle w:val="TableContents"/>
              <w:rPr/>
            </w:pPr>
            <w:r>
              <w:rPr/>
              <w:t>The proviso "Any such facility...whose built-up area consumes FAR shall form part of common areas" - but this conflates FAR consumption with "common area" status. Plant/machinery and open land don't consume FAR but are common areas.</w:t>
            </w:r>
          </w:p>
        </w:tc>
        <w:tc>
          <w:tcPr>
            <w:tcW w:w="4546" w:type="dxa"/>
            <w:tcBorders>
              <w:start w:val="single" w:sz="4" w:space="0" w:color="000000"/>
              <w:bottom w:val="single" w:sz="4" w:space="0" w:color="000000"/>
            </w:tcBorders>
            <w:vAlign w:val="center"/>
          </w:tcPr>
          <w:p>
            <w:pPr>
              <w:pStyle w:val="TableContents"/>
              <w:rPr/>
            </w:pPr>
            <w:r>
              <w:rPr/>
              <w:t>Remove the proviso or clarify that FAR consumption is not the sole test for common area status.</w:t>
            </w:r>
          </w:p>
        </w:tc>
        <w:tc>
          <w:tcPr>
            <w:tcW w:w="4402" w:type="dxa"/>
            <w:tcBorders>
              <w:start w:val="single" w:sz="4" w:space="0" w:color="000000"/>
              <w:bottom w:val="single" w:sz="4" w:space="0" w:color="000000"/>
              <w:end w:val="single" w:sz="4" w:space="0" w:color="000000"/>
            </w:tcBorders>
            <w:vAlign w:val="center"/>
          </w:tcPr>
          <w:p>
            <w:pPr>
              <w:pStyle w:val="TableContents"/>
              <w:rPr/>
            </w:pPr>
            <w:r>
              <w:rPr/>
              <w:t>Flawed argument: Consumption of FAR cannot be test criteria for "Common area." Plant and machinery do not require any FAR on their own. Open land does not consume FAR. Yet both are "common areas."</w:t>
            </w:r>
          </w:p>
        </w:tc>
      </w:tr>
      <w:tr>
        <w:trPr>
          <w:cantSplit/>
        </w:trPr>
        <w:tc>
          <w:tcPr>
            <w:tcW w:w="481" w:type="dxa"/>
            <w:tcBorders>
              <w:start w:val="single" w:sz="4" w:space="0" w:color="000000"/>
              <w:bottom w:val="single" w:sz="4" w:space="0" w:color="000000"/>
            </w:tcBorders>
            <w:vAlign w:val="center"/>
          </w:tcPr>
          <w:p>
            <w:pPr>
              <w:pStyle w:val="TableContents"/>
              <w:rPr/>
            </w:pPr>
            <w:r>
              <w:rPr/>
              <w:t>13</w:t>
            </w:r>
          </w:p>
        </w:tc>
        <w:tc>
          <w:tcPr>
            <w:tcW w:w="985" w:type="dxa"/>
            <w:tcBorders>
              <w:start w:val="single" w:sz="4" w:space="0" w:color="000000"/>
              <w:bottom w:val="single" w:sz="4" w:space="0" w:color="000000"/>
            </w:tcBorders>
            <w:vAlign w:val="center"/>
          </w:tcPr>
          <w:p>
            <w:pPr>
              <w:pStyle w:val="TableContents"/>
              <w:rPr/>
            </w:pPr>
            <w:r>
              <w:rPr/>
              <w:t>2(m)</w:t>
            </w:r>
          </w:p>
        </w:tc>
        <w:tc>
          <w:tcPr>
            <w:tcW w:w="1597" w:type="dxa"/>
            <w:tcBorders>
              <w:start w:val="single" w:sz="4" w:space="0" w:color="000000"/>
              <w:bottom w:val="single" w:sz="4" w:space="0" w:color="000000"/>
            </w:tcBorders>
            <w:vAlign w:val="center"/>
          </w:tcPr>
          <w:p>
            <w:pPr>
              <w:pStyle w:val="TableContents"/>
              <w:rPr/>
            </w:pPr>
            <w:r>
              <w:rPr/>
              <w:t>Commercial/Quality of Life</w:t>
            </w:r>
          </w:p>
        </w:tc>
        <w:tc>
          <w:tcPr>
            <w:tcW w:w="3921" w:type="dxa"/>
            <w:tcBorders>
              <w:start w:val="single" w:sz="4" w:space="0" w:color="000000"/>
              <w:bottom w:val="single" w:sz="4" w:space="0" w:color="000000"/>
            </w:tcBorders>
            <w:vAlign w:val="center"/>
          </w:tcPr>
          <w:p>
            <w:pPr>
              <w:pStyle w:val="TableContents"/>
              <w:rPr/>
            </w:pPr>
            <w:r>
              <w:rPr/>
              <w:t>Allows promoter to retain ownership of commercial facilities (clubhouse, retail block) within a nominally residential project.</w:t>
            </w:r>
          </w:p>
        </w:tc>
        <w:tc>
          <w:tcPr>
            <w:tcW w:w="4546" w:type="dxa"/>
            <w:tcBorders>
              <w:start w:val="single" w:sz="4" w:space="0" w:color="000000"/>
              <w:bottom w:val="single" w:sz="4" w:space="0" w:color="000000"/>
            </w:tcBorders>
            <w:vAlign w:val="center"/>
          </w:tcPr>
          <w:p>
            <w:pPr>
              <w:pStyle w:val="TableContents"/>
              <w:rPr/>
            </w:pPr>
            <w:r>
              <w:rPr/>
              <w:t>Require residential owner consent before any commercial facility can be retained; ensure retention does not disadvantage residential owners in common area allocation.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Builder-installed commercial anchor inside residential complex from day one. This legitimizes commercial exploitation within residential projects.</w:t>
            </w:r>
          </w:p>
        </w:tc>
      </w:tr>
      <w:tr>
        <w:trPr>
          <w:cantSplit/>
        </w:trPr>
        <w:tc>
          <w:tcPr>
            <w:tcW w:w="481" w:type="dxa"/>
            <w:tcBorders>
              <w:start w:val="single" w:sz="4" w:space="0" w:color="000000"/>
              <w:bottom w:val="single" w:sz="4" w:space="0" w:color="000000"/>
            </w:tcBorders>
            <w:vAlign w:val="center"/>
          </w:tcPr>
          <w:p>
            <w:pPr>
              <w:pStyle w:val="TableContents"/>
              <w:rPr/>
            </w:pPr>
            <w:r>
              <w:rPr/>
              <w:t>14</w:t>
            </w:r>
          </w:p>
        </w:tc>
        <w:tc>
          <w:tcPr>
            <w:tcW w:w="985" w:type="dxa"/>
            <w:tcBorders>
              <w:start w:val="single" w:sz="4" w:space="0" w:color="000000"/>
              <w:bottom w:val="single" w:sz="4" w:space="0" w:color="000000"/>
            </w:tcBorders>
            <w:vAlign w:val="center"/>
          </w:tcPr>
          <w:p>
            <w:pPr>
              <w:pStyle w:val="TableContents"/>
              <w:rPr/>
            </w:pPr>
            <w:r>
              <w:rPr/>
              <w:t>2(n)</w:t>
            </w:r>
          </w:p>
        </w:tc>
        <w:tc>
          <w:tcPr>
            <w:tcW w:w="1597" w:type="dxa"/>
            <w:tcBorders>
              <w:start w:val="single" w:sz="4" w:space="0" w:color="000000"/>
              <w:bottom w:val="single" w:sz="4" w:space="0" w:color="000000"/>
            </w:tcBorders>
            <w:vAlign w:val="center"/>
          </w:tcPr>
          <w:p>
            <w:pPr>
              <w:pStyle w:val="TableContents"/>
              <w:rPr/>
            </w:pPr>
            <w:r>
              <w:rPr/>
              <w:t>Definitional</w:t>
            </w:r>
          </w:p>
        </w:tc>
        <w:tc>
          <w:tcPr>
            <w:tcW w:w="3921" w:type="dxa"/>
            <w:tcBorders>
              <w:start w:val="single" w:sz="4" w:space="0" w:color="000000"/>
              <w:bottom w:val="single" w:sz="4" w:space="0" w:color="000000"/>
            </w:tcBorders>
            <w:vAlign w:val="center"/>
          </w:tcPr>
          <w:p>
            <w:pPr>
              <w:pStyle w:val="TableContents"/>
              <w:rPr/>
            </w:pPr>
            <w:r>
              <w:rPr/>
              <w:t>"Community and commercial facilities user charges" - definition is unclear. Are facilities for exclusive use of owners/occupiers only? Are they on "pay as you go" basis? How are capex and opex shared?</w:t>
            </w:r>
          </w:p>
        </w:tc>
        <w:tc>
          <w:tcPr>
            <w:tcW w:w="4546" w:type="dxa"/>
            <w:tcBorders>
              <w:start w:val="single" w:sz="4" w:space="0" w:color="000000"/>
              <w:bottom w:val="single" w:sz="4" w:space="0" w:color="000000"/>
            </w:tcBorders>
            <w:vAlign w:val="center"/>
          </w:tcPr>
          <w:p>
            <w:pPr>
              <w:pStyle w:val="TableContents"/>
              <w:rPr/>
            </w:pPr>
            <w:r>
              <w:rPr/>
              <w:t>Clarify the meaning: (1) Are facilities meant for exclusive use of allottees/owners, not outsiders? (2) Are facilities financially sustained on "pay as you go" basis? (3) How is capex and opex shared among users and non-users? (4) Is opex part of maintenance ("Common expenses")?</w:t>
            </w:r>
          </w:p>
        </w:tc>
        <w:tc>
          <w:tcPr>
            <w:tcW w:w="4402" w:type="dxa"/>
            <w:tcBorders>
              <w:start w:val="single" w:sz="4" w:space="0" w:color="000000"/>
              <w:bottom w:val="single" w:sz="4" w:space="0" w:color="000000"/>
              <w:end w:val="single" w:sz="4" w:space="0" w:color="000000"/>
            </w:tcBorders>
            <w:vAlign w:val="center"/>
          </w:tcPr>
          <w:p>
            <w:pPr>
              <w:pStyle w:val="TableContents"/>
              <w:rPr/>
            </w:pPr>
            <w:r>
              <w:rPr/>
              <w:t>Ambiguity creates disputes and allows commercialization of common facilities.</w:t>
            </w:r>
          </w:p>
        </w:tc>
      </w:tr>
      <w:tr>
        <w:trPr>
          <w:cantSplit/>
        </w:trPr>
        <w:tc>
          <w:tcPr>
            <w:tcW w:w="481" w:type="dxa"/>
            <w:tcBorders>
              <w:start w:val="single" w:sz="4" w:space="0" w:color="000000"/>
              <w:bottom w:val="single" w:sz="4" w:space="0" w:color="000000"/>
            </w:tcBorders>
            <w:vAlign w:val="center"/>
          </w:tcPr>
          <w:p>
            <w:pPr>
              <w:pStyle w:val="TableContents"/>
              <w:rPr/>
            </w:pPr>
            <w:r>
              <w:rPr/>
              <w:t>15</w:t>
            </w:r>
          </w:p>
        </w:tc>
        <w:tc>
          <w:tcPr>
            <w:tcW w:w="985" w:type="dxa"/>
            <w:tcBorders>
              <w:start w:val="single" w:sz="4" w:space="0" w:color="000000"/>
              <w:bottom w:val="single" w:sz="4" w:space="0" w:color="000000"/>
            </w:tcBorders>
            <w:vAlign w:val="center"/>
          </w:tcPr>
          <w:p>
            <w:pPr>
              <w:pStyle w:val="TableContents"/>
              <w:rPr/>
            </w:pPr>
            <w:r>
              <w:rPr/>
              <w:t>2(n)</w:t>
            </w:r>
          </w:p>
        </w:tc>
        <w:tc>
          <w:tcPr>
            <w:tcW w:w="1597" w:type="dxa"/>
            <w:tcBorders>
              <w:start w:val="single" w:sz="4" w:space="0" w:color="000000"/>
              <w:bottom w:val="single" w:sz="4" w:space="0" w:color="000000"/>
            </w:tcBorders>
            <w:vAlign w:val="center"/>
          </w:tcPr>
          <w:p>
            <w:pPr>
              <w:pStyle w:val="TableContents"/>
              <w:rPr/>
            </w:pPr>
            <w:r>
              <w:rPr/>
              <w:t>Definitional</w:t>
            </w:r>
          </w:p>
        </w:tc>
        <w:tc>
          <w:tcPr>
            <w:tcW w:w="3921" w:type="dxa"/>
            <w:tcBorders>
              <w:start w:val="single" w:sz="4" w:space="0" w:color="000000"/>
              <w:bottom w:val="single" w:sz="4" w:space="0" w:color="000000"/>
            </w:tcBorders>
            <w:vAlign w:val="center"/>
          </w:tcPr>
          <w:p>
            <w:pPr>
              <w:pStyle w:val="TableContents"/>
              <w:rPr/>
            </w:pPr>
            <w:r>
              <w:rPr/>
              <w:t>The proviso "Provided that any such facility..." - the distinction between "commercial facilities" and "common area" is conflated.</w:t>
            </w:r>
          </w:p>
        </w:tc>
        <w:tc>
          <w:tcPr>
            <w:tcW w:w="4546" w:type="dxa"/>
            <w:tcBorders>
              <w:start w:val="single" w:sz="4" w:space="0" w:color="000000"/>
              <w:bottom w:val="single" w:sz="4" w:space="0" w:color="000000"/>
            </w:tcBorders>
            <w:vAlign w:val="center"/>
          </w:tcPr>
          <w:p>
            <w:pPr>
              <w:pStyle w:val="TableContents"/>
              <w:rPr/>
            </w:pPr>
            <w:r>
              <w:rPr/>
              <w:t>Remove the proviso.</w:t>
            </w:r>
          </w:p>
        </w:tc>
        <w:tc>
          <w:tcPr>
            <w:tcW w:w="4402" w:type="dxa"/>
            <w:tcBorders>
              <w:start w:val="single" w:sz="4" w:space="0" w:color="000000"/>
              <w:bottom w:val="single" w:sz="4" w:space="0" w:color="000000"/>
              <w:end w:val="single" w:sz="4" w:space="0" w:color="000000"/>
            </w:tcBorders>
            <w:vAlign w:val="center"/>
          </w:tcPr>
          <w:p>
            <w:pPr>
              <w:pStyle w:val="TableContents"/>
              <w:rPr/>
            </w:pPr>
            <w:r>
              <w:rPr/>
              <w:t>FAR consumption cannot be the test for common area status. Plant/machinery don't require FAR. Open land doesn't consume FAR. Yet both are common areas.</w:t>
            </w:r>
          </w:p>
        </w:tc>
      </w:tr>
      <w:tr>
        <w:trPr>
          <w:cantSplit/>
        </w:trPr>
        <w:tc>
          <w:tcPr>
            <w:tcW w:w="481" w:type="dxa"/>
            <w:tcBorders>
              <w:start w:val="single" w:sz="4" w:space="0" w:color="000000"/>
              <w:bottom w:val="single" w:sz="4" w:space="0" w:color="000000"/>
            </w:tcBorders>
            <w:vAlign w:val="center"/>
          </w:tcPr>
          <w:p>
            <w:pPr>
              <w:pStyle w:val="TableContents"/>
              <w:rPr/>
            </w:pPr>
            <w:r>
              <w:rPr/>
              <w:t>16</w:t>
            </w:r>
          </w:p>
        </w:tc>
        <w:tc>
          <w:tcPr>
            <w:tcW w:w="985" w:type="dxa"/>
            <w:tcBorders>
              <w:start w:val="single" w:sz="4" w:space="0" w:color="000000"/>
              <w:bottom w:val="single" w:sz="4" w:space="0" w:color="000000"/>
            </w:tcBorders>
            <w:vAlign w:val="center"/>
          </w:tcPr>
          <w:p>
            <w:pPr>
              <w:pStyle w:val="TableContents"/>
              <w:rPr/>
            </w:pPr>
            <w:r>
              <w:rPr/>
              <w:t>2(p)</w:t>
            </w:r>
          </w:p>
        </w:tc>
        <w:tc>
          <w:tcPr>
            <w:tcW w:w="1597" w:type="dxa"/>
            <w:tcBorders>
              <w:start w:val="single" w:sz="4" w:space="0" w:color="000000"/>
              <w:bottom w:val="single" w:sz="4" w:space="0" w:color="000000"/>
            </w:tcBorders>
            <w:vAlign w:val="center"/>
          </w:tcPr>
          <w:p>
            <w:pPr>
              <w:pStyle w:val="TableContents"/>
              <w:rPr/>
            </w:pPr>
            <w:r>
              <w:rPr/>
              <w:t>Definitional</w:t>
            </w:r>
          </w:p>
        </w:tc>
        <w:tc>
          <w:tcPr>
            <w:tcW w:w="3921" w:type="dxa"/>
            <w:tcBorders>
              <w:start w:val="single" w:sz="4" w:space="0" w:color="000000"/>
              <w:bottom w:val="single" w:sz="4" w:space="0" w:color="000000"/>
            </w:tcBorders>
            <w:vAlign w:val="center"/>
          </w:tcPr>
          <w:p>
            <w:pPr>
              <w:pStyle w:val="TableContents"/>
              <w:rPr/>
            </w:pPr>
            <w:r>
              <w:rPr/>
              <w:t>"includes any machinery, equipment or other property...used or intended to be used in connection with the common areas and facilities" - vague.</w:t>
            </w:r>
          </w:p>
        </w:tc>
        <w:tc>
          <w:tcPr>
            <w:tcW w:w="4546" w:type="dxa"/>
            <w:tcBorders>
              <w:start w:val="single" w:sz="4" w:space="0" w:color="000000"/>
              <w:bottom w:val="single" w:sz="4" w:space="0" w:color="000000"/>
            </w:tcBorders>
            <w:vAlign w:val="center"/>
          </w:tcPr>
          <w:p>
            <w:pPr>
              <w:pStyle w:val="TableContents"/>
              <w:rPr/>
            </w:pPr>
            <w:r>
              <w:rPr/>
              <w:t>Should list typical items or reference "as may be specified in the declaration"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Missing specificity; creates ambiguity about what equipment is covered.</w:t>
            </w:r>
          </w:p>
        </w:tc>
      </w:tr>
      <w:tr>
        <w:trPr>
          <w:cantSplit/>
        </w:trPr>
        <w:tc>
          <w:tcPr>
            <w:tcW w:w="481" w:type="dxa"/>
            <w:tcBorders>
              <w:start w:val="single" w:sz="4" w:space="0" w:color="000000"/>
              <w:bottom w:val="single" w:sz="4" w:space="0" w:color="000000"/>
            </w:tcBorders>
            <w:vAlign w:val="center"/>
          </w:tcPr>
          <w:p>
            <w:pPr>
              <w:pStyle w:val="TableContents"/>
              <w:rPr/>
            </w:pPr>
            <w:r>
              <w:rPr/>
              <w:t>17</w:t>
            </w:r>
          </w:p>
        </w:tc>
        <w:tc>
          <w:tcPr>
            <w:tcW w:w="985" w:type="dxa"/>
            <w:tcBorders>
              <w:start w:val="single" w:sz="4" w:space="0" w:color="000000"/>
              <w:bottom w:val="single" w:sz="4" w:space="0" w:color="000000"/>
            </w:tcBorders>
            <w:vAlign w:val="center"/>
          </w:tcPr>
          <w:p>
            <w:pPr>
              <w:pStyle w:val="TableContents"/>
              <w:rPr/>
            </w:pPr>
            <w:r>
              <w:rPr/>
              <w:t>2(y)</w:t>
            </w:r>
          </w:p>
        </w:tc>
        <w:tc>
          <w:tcPr>
            <w:tcW w:w="1597" w:type="dxa"/>
            <w:tcBorders>
              <w:start w:val="single" w:sz="4" w:space="0" w:color="000000"/>
              <w:bottom w:val="single" w:sz="4" w:space="0" w:color="000000"/>
            </w:tcBorders>
            <w:vAlign w:val="center"/>
          </w:tcPr>
          <w:p>
            <w:pPr>
              <w:pStyle w:val="TableContents"/>
              <w:rPr/>
            </w:pPr>
            <w:r>
              <w:rPr/>
              <w:t>Definitional</w:t>
            </w:r>
          </w:p>
        </w:tc>
        <w:tc>
          <w:tcPr>
            <w:tcW w:w="3921" w:type="dxa"/>
            <w:tcBorders>
              <w:start w:val="single" w:sz="4" w:space="0" w:color="000000"/>
              <w:bottom w:val="single" w:sz="4" w:space="0" w:color="000000"/>
            </w:tcBorders>
            <w:vAlign w:val="center"/>
          </w:tcPr>
          <w:p>
            <w:pPr>
              <w:pStyle w:val="TableContents"/>
              <w:rPr/>
            </w:pPr>
            <w:r>
              <w:rPr/>
              <w:t>"Private parking space" definition - distinction between "private parking" and "common parking" is unclear. The difference between a basement parking slot marked for an individual and a "private parking space" is ambiguous.</w:t>
            </w:r>
          </w:p>
        </w:tc>
        <w:tc>
          <w:tcPr>
            <w:tcW w:w="4546" w:type="dxa"/>
            <w:tcBorders>
              <w:start w:val="single" w:sz="4" w:space="0" w:color="000000"/>
              <w:bottom w:val="single" w:sz="4" w:space="0" w:color="000000"/>
            </w:tcBorders>
            <w:vAlign w:val="center"/>
          </w:tcPr>
          <w:p>
            <w:pPr>
              <w:pStyle w:val="TableContents"/>
              <w:rPr/>
            </w:pPr>
            <w:r>
              <w:rPr/>
              <w:t>Clarify the distinction between "private parking" and "common parking" with specific criteria.</w:t>
            </w:r>
          </w:p>
        </w:tc>
        <w:tc>
          <w:tcPr>
            <w:tcW w:w="4402" w:type="dxa"/>
            <w:tcBorders>
              <w:start w:val="single" w:sz="4" w:space="0" w:color="000000"/>
              <w:bottom w:val="single" w:sz="4" w:space="0" w:color="000000"/>
              <w:end w:val="single" w:sz="4" w:space="0" w:color="000000"/>
            </w:tcBorders>
            <w:vAlign w:val="center"/>
          </w:tcPr>
          <w:p>
            <w:pPr>
              <w:pStyle w:val="TableContents"/>
              <w:rPr/>
            </w:pPr>
            <w:r>
              <w:rPr/>
              <w:t>Ambiguity will lead to disputes over whether a slot is common or private. In most cases, parking is a demarcated area in basement. It does not meet any of the descriptions provided in y(ii)(i).</w:t>
            </w:r>
          </w:p>
        </w:tc>
      </w:tr>
      <w:tr>
        <w:trPr>
          <w:cantSplit/>
        </w:trPr>
        <w:tc>
          <w:tcPr>
            <w:tcW w:w="481" w:type="dxa"/>
            <w:tcBorders>
              <w:start w:val="single" w:sz="4" w:space="0" w:color="000000"/>
              <w:bottom w:val="single" w:sz="4" w:space="0" w:color="000000"/>
            </w:tcBorders>
            <w:vAlign w:val="center"/>
          </w:tcPr>
          <w:p>
            <w:pPr>
              <w:pStyle w:val="TableContents"/>
              <w:rPr/>
            </w:pPr>
            <w:r>
              <w:rPr/>
              <w:t>18</w:t>
            </w:r>
          </w:p>
        </w:tc>
        <w:tc>
          <w:tcPr>
            <w:tcW w:w="985" w:type="dxa"/>
            <w:tcBorders>
              <w:start w:val="single" w:sz="4" w:space="0" w:color="000000"/>
              <w:bottom w:val="single" w:sz="4" w:space="0" w:color="000000"/>
            </w:tcBorders>
            <w:vAlign w:val="center"/>
          </w:tcPr>
          <w:p>
            <w:pPr>
              <w:pStyle w:val="TableContents"/>
              <w:rPr/>
            </w:pPr>
            <w:r>
              <w:rPr/>
              <w:t>2(y)(iii)</w:t>
            </w:r>
          </w:p>
        </w:tc>
        <w:tc>
          <w:tcPr>
            <w:tcW w:w="1597" w:type="dxa"/>
            <w:tcBorders>
              <w:start w:val="single" w:sz="4" w:space="0" w:color="000000"/>
              <w:bottom w:val="single" w:sz="4" w:space="0" w:color="000000"/>
            </w:tcBorders>
            <w:vAlign w:val="center"/>
          </w:tcPr>
          <w:p>
            <w:pPr>
              <w:pStyle w:val="TableContents"/>
              <w:rPr/>
            </w:pPr>
            <w:r>
              <w:rPr/>
              <w:t>Definitional/UDI</w:t>
            </w:r>
          </w:p>
        </w:tc>
        <w:tc>
          <w:tcPr>
            <w:tcW w:w="3921" w:type="dxa"/>
            <w:tcBorders>
              <w:start w:val="single" w:sz="4" w:space="0" w:color="000000"/>
              <w:bottom w:val="single" w:sz="4" w:space="0" w:color="000000"/>
            </w:tcBorders>
            <w:vAlign w:val="center"/>
          </w:tcPr>
          <w:p>
            <w:pPr>
              <w:pStyle w:val="TableContents"/>
              <w:rPr/>
            </w:pPr>
            <w:r>
              <w:rPr/>
              <w:t>Excluding parking area from private area and UDI calculation makes it a freely tradable item whose transfer does not affect either UDI or LCA table. Over time, neither UDI nor LCAs will be traceable!</w:t>
            </w:r>
          </w:p>
        </w:tc>
        <w:tc>
          <w:tcPr>
            <w:tcW w:w="4546" w:type="dxa"/>
            <w:tcBorders>
              <w:start w:val="single" w:sz="4" w:space="0" w:color="000000"/>
              <w:bottom w:val="single" w:sz="4" w:space="0" w:color="000000"/>
            </w:tcBorders>
            <w:vAlign w:val="center"/>
          </w:tcPr>
          <w:p>
            <w:pPr>
              <w:pStyle w:val="TableContents"/>
              <w:rPr/>
            </w:pPr>
            <w:r>
              <w:rPr/>
              <w:t>Include parking area at 33% (or applicable percentage) in calculation of private area and UDI.</w:t>
            </w:r>
          </w:p>
        </w:tc>
        <w:tc>
          <w:tcPr>
            <w:tcW w:w="4402" w:type="dxa"/>
            <w:tcBorders>
              <w:start w:val="single" w:sz="4" w:space="0" w:color="000000"/>
              <w:bottom w:val="single" w:sz="4" w:space="0" w:color="000000"/>
              <w:end w:val="single" w:sz="4" w:space="0" w:color="000000"/>
            </w:tcBorders>
            <w:vAlign w:val="center"/>
          </w:tcPr>
          <w:p>
            <w:pPr>
              <w:pStyle w:val="TableContents"/>
              <w:rPr/>
            </w:pPr>
            <w:r>
              <w:rPr/>
              <w:t>Equity &amp; Free Trade Risk: Excluding parking area makes it a freely tradable item. Allows owners to sell parking independently of apartments, creating conflict and undermining proportional ownership model.</w:t>
            </w:r>
          </w:p>
        </w:tc>
      </w:tr>
      <w:tr>
        <w:trPr>
          <w:cantSplit/>
        </w:trPr>
        <w:tc>
          <w:tcPr>
            <w:tcW w:w="481" w:type="dxa"/>
            <w:tcBorders>
              <w:start w:val="single" w:sz="4" w:space="0" w:color="000000"/>
              <w:bottom w:val="single" w:sz="4" w:space="0" w:color="000000"/>
            </w:tcBorders>
            <w:vAlign w:val="center"/>
          </w:tcPr>
          <w:p>
            <w:pPr>
              <w:pStyle w:val="TableContents"/>
              <w:rPr/>
            </w:pPr>
            <w:r>
              <w:rPr/>
              <w:t>19</w:t>
            </w:r>
          </w:p>
        </w:tc>
        <w:tc>
          <w:tcPr>
            <w:tcW w:w="985" w:type="dxa"/>
            <w:tcBorders>
              <w:start w:val="single" w:sz="4" w:space="0" w:color="000000"/>
              <w:bottom w:val="single" w:sz="4" w:space="0" w:color="000000"/>
            </w:tcBorders>
            <w:vAlign w:val="center"/>
          </w:tcPr>
          <w:p>
            <w:pPr>
              <w:pStyle w:val="TableContents"/>
              <w:rPr/>
            </w:pPr>
            <w:r>
              <w:rPr/>
              <w:t>2(y)(iii)</w:t>
            </w:r>
          </w:p>
        </w:tc>
        <w:tc>
          <w:tcPr>
            <w:tcW w:w="1597" w:type="dxa"/>
            <w:tcBorders>
              <w:start w:val="single" w:sz="4" w:space="0" w:color="000000"/>
              <w:bottom w:val="single" w:sz="4" w:space="0" w:color="000000"/>
            </w:tcBorders>
            <w:vAlign w:val="center"/>
          </w:tcPr>
          <w:p>
            <w:pPr>
              <w:pStyle w:val="TableContents"/>
              <w:rPr/>
            </w:pPr>
            <w:r>
              <w:rPr/>
              <w:t>Transfer/UDI</w:t>
            </w:r>
          </w:p>
        </w:tc>
        <w:tc>
          <w:tcPr>
            <w:tcW w:w="3921" w:type="dxa"/>
            <w:tcBorders>
              <w:start w:val="single" w:sz="4" w:space="0" w:color="000000"/>
              <w:bottom w:val="single" w:sz="4" w:space="0" w:color="000000"/>
            </w:tcBorders>
            <w:vAlign w:val="center"/>
          </w:tcPr>
          <w:p>
            <w:pPr>
              <w:pStyle w:val="TableContents"/>
              <w:rPr/>
            </w:pPr>
            <w:r>
              <w:rPr/>
              <w:t>Allows transfer of private parking space to other owner within same project. This may not be permissible by city's building bye-laws. Even when permitted, transfer is void unless UDI table and LCA table are updated.</w:t>
            </w:r>
          </w:p>
        </w:tc>
        <w:tc>
          <w:tcPr>
            <w:tcW w:w="4546" w:type="dxa"/>
            <w:tcBorders>
              <w:start w:val="single" w:sz="4" w:space="0" w:color="000000"/>
              <w:bottom w:val="single" w:sz="4" w:space="0" w:color="000000"/>
            </w:tcBorders>
            <w:vAlign w:val="center"/>
          </w:tcPr>
          <w:p>
            <w:pPr>
              <w:pStyle w:val="TableContents"/>
              <w:rPr/>
            </w:pPr>
            <w:r>
              <w:rPr/>
              <w:t>Add proviso: Transfer is permissible only if transferor apartment meets minimum parking area requirement after proposed transfer as per Building bye-laws. No transfer valid unless: (1) UDI recalculation of transferor and transferee; (2) corresponding change in LCA table.</w:t>
            </w:r>
          </w:p>
        </w:tc>
        <w:tc>
          <w:tcPr>
            <w:tcW w:w="4402" w:type="dxa"/>
            <w:tcBorders>
              <w:start w:val="single" w:sz="4" w:space="0" w:color="000000"/>
              <w:bottom w:val="single" w:sz="4" w:space="0" w:color="000000"/>
              <w:end w:val="single" w:sz="4" w:space="0" w:color="000000"/>
            </w:tcBorders>
            <w:vAlign w:val="center"/>
          </w:tcPr>
          <w:p>
            <w:pPr>
              <w:pStyle w:val="TableContents"/>
              <w:rPr/>
            </w:pPr>
            <w:r>
              <w:rPr/>
              <w:t>UDI Arithmetic Gap: If parking is transferred without UDI recalculation, proportional ownership of land/common areas is distorted. LCA table gap: Every LCA is appurtenant to a specified apartment; LCA table must be updated.</w:t>
            </w:r>
          </w:p>
        </w:tc>
      </w:tr>
      <w:tr>
        <w:trPr>
          <w:cantSplit/>
        </w:trPr>
        <w:tc>
          <w:tcPr>
            <w:tcW w:w="481" w:type="dxa"/>
            <w:tcBorders>
              <w:start w:val="single" w:sz="4" w:space="0" w:color="000000"/>
              <w:bottom w:val="single" w:sz="4" w:space="0" w:color="000000"/>
            </w:tcBorders>
            <w:vAlign w:val="center"/>
          </w:tcPr>
          <w:p>
            <w:pPr>
              <w:pStyle w:val="TableContents"/>
              <w:rPr/>
            </w:pPr>
            <w:r>
              <w:rPr/>
              <w:t>20</w:t>
            </w:r>
          </w:p>
        </w:tc>
        <w:tc>
          <w:tcPr>
            <w:tcW w:w="985" w:type="dxa"/>
            <w:tcBorders>
              <w:start w:val="single" w:sz="4" w:space="0" w:color="000000"/>
              <w:bottom w:val="single" w:sz="4" w:space="0" w:color="000000"/>
            </w:tcBorders>
            <w:vAlign w:val="center"/>
          </w:tcPr>
          <w:p>
            <w:pPr>
              <w:pStyle w:val="TableContents"/>
              <w:rPr/>
            </w:pPr>
            <w:r>
              <w:rPr/>
              <w:t>2(cc)</w:t>
            </w:r>
          </w:p>
        </w:tc>
        <w:tc>
          <w:tcPr>
            <w:tcW w:w="1597" w:type="dxa"/>
            <w:tcBorders>
              <w:start w:val="single" w:sz="4" w:space="0" w:color="000000"/>
              <w:bottom w:val="single" w:sz="4" w:space="0" w:color="000000"/>
            </w:tcBorders>
            <w:vAlign w:val="center"/>
          </w:tcPr>
          <w:p>
            <w:pPr>
              <w:pStyle w:val="TableContents"/>
              <w:rPr/>
            </w:pPr>
            <w:r>
              <w:rPr/>
              <w:t>Definitional</w:t>
            </w:r>
          </w:p>
        </w:tc>
        <w:tc>
          <w:tcPr>
            <w:tcW w:w="3921" w:type="dxa"/>
            <w:tcBorders>
              <w:start w:val="single" w:sz="4" w:space="0" w:color="000000"/>
              <w:bottom w:val="single" w:sz="4" w:space="0" w:color="000000"/>
            </w:tcBorders>
            <w:vAlign w:val="center"/>
          </w:tcPr>
          <w:p>
            <w:pPr>
              <w:pStyle w:val="TableContents"/>
              <w:rPr/>
            </w:pPr>
            <w:r>
              <w:rPr/>
              <w:t>"thirty-three percent or whatever percent specified in the title deed" - "whatever" is not legal language.</w:t>
            </w:r>
          </w:p>
        </w:tc>
        <w:tc>
          <w:tcPr>
            <w:tcW w:w="4546" w:type="dxa"/>
            <w:tcBorders>
              <w:start w:val="single" w:sz="4" w:space="0" w:color="000000"/>
              <w:bottom w:val="single" w:sz="4" w:space="0" w:color="000000"/>
            </w:tcBorders>
            <w:vAlign w:val="center"/>
          </w:tcPr>
          <w:p>
            <w:pPr>
              <w:pStyle w:val="TableContents"/>
              <w:rPr/>
            </w:pPr>
            <w:r>
              <w:rPr/>
              <w:t>"the percentage specified in the title deed, not exceeding such limit as may be prescribed"</w:t>
            </w:r>
          </w:p>
        </w:tc>
        <w:tc>
          <w:tcPr>
            <w:tcW w:w="4402" w:type="dxa"/>
            <w:tcBorders>
              <w:start w:val="single" w:sz="4" w:space="0" w:color="000000"/>
              <w:bottom w:val="single" w:sz="4" w:space="0" w:color="000000"/>
              <w:end w:val="single" w:sz="4" w:space="0" w:color="000000"/>
            </w:tcBorders>
            <w:vAlign w:val="center"/>
          </w:tcPr>
          <w:p>
            <w:pPr>
              <w:pStyle w:val="TableContents"/>
              <w:rPr/>
            </w:pPr>
            <w:r>
              <w:rPr/>
              <w:t>Ambiguous and subject to exploitation. "Whatever" creates uncertainty and allows arbitrary variation.</w:t>
            </w:r>
          </w:p>
        </w:tc>
      </w:tr>
      <w:tr>
        <w:trPr>
          <w:cantSplit/>
        </w:trPr>
        <w:tc>
          <w:tcPr>
            <w:tcW w:w="481" w:type="dxa"/>
            <w:tcBorders>
              <w:start w:val="single" w:sz="4" w:space="0" w:color="000000"/>
              <w:bottom w:val="single" w:sz="4" w:space="0" w:color="000000"/>
            </w:tcBorders>
            <w:vAlign w:val="center"/>
          </w:tcPr>
          <w:p>
            <w:pPr>
              <w:pStyle w:val="TableContents"/>
              <w:rPr/>
            </w:pPr>
            <w:r>
              <w:rPr/>
              <w:t>21</w:t>
            </w:r>
          </w:p>
        </w:tc>
        <w:tc>
          <w:tcPr>
            <w:tcW w:w="985" w:type="dxa"/>
            <w:tcBorders>
              <w:start w:val="single" w:sz="4" w:space="0" w:color="000000"/>
              <w:bottom w:val="single" w:sz="4" w:space="0" w:color="000000"/>
            </w:tcBorders>
            <w:vAlign w:val="center"/>
          </w:tcPr>
          <w:p>
            <w:pPr>
              <w:pStyle w:val="TableContents"/>
              <w:rPr/>
            </w:pPr>
            <w:r>
              <w:rPr/>
              <w:t>2(ee)</w:t>
            </w:r>
          </w:p>
        </w:tc>
        <w:tc>
          <w:tcPr>
            <w:tcW w:w="1597" w:type="dxa"/>
            <w:tcBorders>
              <w:start w:val="single" w:sz="4" w:space="0" w:color="000000"/>
              <w:bottom w:val="single" w:sz="4" w:space="0" w:color="000000"/>
            </w:tcBorders>
            <w:vAlign w:val="center"/>
          </w:tcPr>
          <w:p>
            <w:pPr>
              <w:pStyle w:val="TableContents"/>
              <w:rPr/>
            </w:pPr>
            <w:r>
              <w:rPr/>
              <w:t>Definitional</w:t>
            </w:r>
          </w:p>
        </w:tc>
        <w:tc>
          <w:tcPr>
            <w:tcW w:w="3921" w:type="dxa"/>
            <w:tcBorders>
              <w:start w:val="single" w:sz="4" w:space="0" w:color="000000"/>
              <w:bottom w:val="single" w:sz="4" w:space="0" w:color="000000"/>
            </w:tcBorders>
            <w:vAlign w:val="center"/>
          </w:tcPr>
          <w:p>
            <w:pPr>
              <w:pStyle w:val="TableContents"/>
              <w:rPr/>
            </w:pPr>
            <w:r>
              <w:rPr/>
              <w:t>"Promoter" definition - unclear whether landowner is included as a promoter.</w:t>
            </w:r>
          </w:p>
        </w:tc>
        <w:tc>
          <w:tcPr>
            <w:tcW w:w="4546" w:type="dxa"/>
            <w:tcBorders>
              <w:start w:val="single" w:sz="4" w:space="0" w:color="000000"/>
              <w:bottom w:val="single" w:sz="4" w:space="0" w:color="000000"/>
            </w:tcBorders>
            <w:vAlign w:val="center"/>
          </w:tcPr>
          <w:p>
            <w:pPr>
              <w:pStyle w:val="TableContents"/>
              <w:rPr/>
            </w:pPr>
            <w:r>
              <w:rPr/>
              <w:t>Clarify whether the landowner is included as a promoter.</w:t>
            </w:r>
          </w:p>
        </w:tc>
        <w:tc>
          <w:tcPr>
            <w:tcW w:w="4402" w:type="dxa"/>
            <w:tcBorders>
              <w:start w:val="single" w:sz="4" w:space="0" w:color="000000"/>
              <w:bottom w:val="single" w:sz="4" w:space="0" w:color="000000"/>
              <w:end w:val="single" w:sz="4" w:space="0" w:color="000000"/>
            </w:tcBorders>
            <w:vAlign w:val="center"/>
          </w:tcPr>
          <w:p>
            <w:pPr>
              <w:pStyle w:val="TableContents"/>
              <w:rPr/>
            </w:pPr>
            <w:r>
              <w:rPr/>
              <w:t>Ambiguity: If landowner is not a promoter but merely leases land to a builder, who is liable for defects/compliance under KAOMA? What if there is a formal JDA? Needs explicit clarification.</w:t>
            </w:r>
          </w:p>
        </w:tc>
      </w:tr>
      <w:tr>
        <w:trPr>
          <w:cantSplit/>
        </w:trPr>
        <w:tc>
          <w:tcPr>
            <w:tcW w:w="481" w:type="dxa"/>
            <w:tcBorders>
              <w:start w:val="single" w:sz="4" w:space="0" w:color="000000"/>
              <w:bottom w:val="single" w:sz="4" w:space="0" w:color="000000"/>
            </w:tcBorders>
            <w:vAlign w:val="center"/>
          </w:tcPr>
          <w:p>
            <w:pPr>
              <w:pStyle w:val="TableContents"/>
              <w:rPr/>
            </w:pPr>
            <w:r>
              <w:rPr/>
              <w:t>22</w:t>
            </w:r>
          </w:p>
        </w:tc>
        <w:tc>
          <w:tcPr>
            <w:tcW w:w="985" w:type="dxa"/>
            <w:tcBorders>
              <w:start w:val="single" w:sz="4" w:space="0" w:color="000000"/>
              <w:bottom w:val="single" w:sz="4" w:space="0" w:color="000000"/>
            </w:tcBorders>
            <w:vAlign w:val="center"/>
          </w:tcPr>
          <w:p>
            <w:pPr>
              <w:pStyle w:val="TableContents"/>
              <w:rPr/>
            </w:pPr>
            <w:r>
              <w:rPr/>
              <w:t>2(hh)</w:t>
            </w:r>
          </w:p>
        </w:tc>
        <w:tc>
          <w:tcPr>
            <w:tcW w:w="1597" w:type="dxa"/>
            <w:tcBorders>
              <w:start w:val="single" w:sz="4" w:space="0" w:color="000000"/>
              <w:bottom w:val="single" w:sz="4" w:space="0" w:color="000000"/>
            </w:tcBorders>
            <w:vAlign w:val="center"/>
          </w:tcPr>
          <w:p>
            <w:pPr>
              <w:pStyle w:val="TableContents"/>
              <w:rPr/>
            </w:pPr>
            <w:r>
              <w:rPr/>
              <w:t>Definitional/UDI</w:t>
            </w:r>
          </w:p>
        </w:tc>
        <w:tc>
          <w:tcPr>
            <w:tcW w:w="3921" w:type="dxa"/>
            <w:tcBorders>
              <w:start w:val="single" w:sz="4" w:space="0" w:color="000000"/>
              <w:bottom w:val="single" w:sz="4" w:space="0" w:color="000000"/>
            </w:tcBorders>
            <w:vAlign w:val="center"/>
          </w:tcPr>
          <w:p>
            <w:pPr>
              <w:pStyle w:val="TableContents"/>
              <w:rPr/>
            </w:pPr>
            <w:r>
              <w:rPr/>
              <w:t>UDI calculated based on arbitrary 33% formula. Does not reference 8 types of common areas. Does not include LCA. Allows manipulation by promoter.</w:t>
            </w:r>
          </w:p>
        </w:tc>
        <w:tc>
          <w:tcPr>
            <w:tcW w:w="4546" w:type="dxa"/>
            <w:tcBorders>
              <w:start w:val="single" w:sz="4" w:space="0" w:color="000000"/>
              <w:bottom w:val="single" w:sz="4" w:space="0" w:color="000000"/>
            </w:tcBorders>
            <w:vAlign w:val="center"/>
          </w:tcPr>
          <w:p>
            <w:pPr>
              <w:pStyle w:val="TableContents"/>
              <w:rPr/>
            </w:pPr>
            <w:r>
              <w:rPr/>
              <w:t>Define UDI in a dedicated section, referencing the 8 types of common areas, including LCA, and making it appurtenant to the apartment. Under KAOA, UDI was based on value of property and required unanimous consent to change.</w:t>
            </w:r>
          </w:p>
        </w:tc>
        <w:tc>
          <w:tcPr>
            <w:tcW w:w="4402" w:type="dxa"/>
            <w:tcBorders>
              <w:start w:val="single" w:sz="4" w:space="0" w:color="000000"/>
              <w:bottom w:val="single" w:sz="4" w:space="0" w:color="000000"/>
              <w:end w:val="single" w:sz="4" w:space="0" w:color="000000"/>
            </w:tcBorders>
            <w:vAlign w:val="center"/>
          </w:tcPr>
          <w:p>
            <w:pPr>
              <w:pStyle w:val="TableContents"/>
              <w:rPr/>
            </w:pPr>
            <w:r>
              <w:rPr/>
              <w:t>Fundamental Flaw: The 33% figure is arbitrary. Does not correspond to any actual characteristic of common areas. Allows promoter to manipulate UDI.</w:t>
            </w:r>
          </w:p>
        </w:tc>
      </w:tr>
      <w:tr>
        <w:trPr>
          <w:cantSplit/>
        </w:trPr>
        <w:tc>
          <w:tcPr>
            <w:tcW w:w="481" w:type="dxa"/>
            <w:tcBorders>
              <w:start w:val="single" w:sz="4" w:space="0" w:color="000000"/>
              <w:bottom w:val="single" w:sz="4" w:space="0" w:color="000000"/>
            </w:tcBorders>
            <w:vAlign w:val="center"/>
          </w:tcPr>
          <w:p>
            <w:pPr>
              <w:pStyle w:val="TableContents"/>
              <w:rPr/>
            </w:pPr>
            <w:r>
              <w:rPr/>
              <w:t>23</w:t>
            </w:r>
          </w:p>
        </w:tc>
        <w:tc>
          <w:tcPr>
            <w:tcW w:w="985" w:type="dxa"/>
            <w:tcBorders>
              <w:start w:val="single" w:sz="4" w:space="0" w:color="000000"/>
              <w:bottom w:val="single" w:sz="4" w:space="0" w:color="000000"/>
            </w:tcBorders>
            <w:vAlign w:val="center"/>
          </w:tcPr>
          <w:p>
            <w:pPr>
              <w:pStyle w:val="TableContents"/>
              <w:rPr/>
            </w:pPr>
            <w:r>
              <w:rPr/>
              <w:t>2(hh)</w:t>
            </w:r>
          </w:p>
        </w:tc>
        <w:tc>
          <w:tcPr>
            <w:tcW w:w="1597" w:type="dxa"/>
            <w:tcBorders>
              <w:start w:val="single" w:sz="4" w:space="0" w:color="000000"/>
              <w:bottom w:val="single" w:sz="4" w:space="0" w:color="000000"/>
            </w:tcBorders>
            <w:vAlign w:val="center"/>
          </w:tcPr>
          <w:p>
            <w:pPr>
              <w:pStyle w:val="TableContents"/>
              <w:rPr/>
            </w:pPr>
            <w:r>
              <w:rPr/>
              <w:t>Definitional/UDI</w:t>
            </w:r>
          </w:p>
        </w:tc>
        <w:tc>
          <w:tcPr>
            <w:tcW w:w="3921" w:type="dxa"/>
            <w:tcBorders>
              <w:start w:val="single" w:sz="4" w:space="0" w:color="000000"/>
              <w:bottom w:val="single" w:sz="4" w:space="0" w:color="000000"/>
            </w:tcBorders>
            <w:vAlign w:val="center"/>
          </w:tcPr>
          <w:p>
            <w:pPr>
              <w:pStyle w:val="TableContents"/>
              <w:rPr/>
            </w:pPr>
            <w:r>
              <w:rPr/>
              <w:t>UDI calculation based on "proportionate share assigned to the apartment in the built-up portions of the common areas" - not linked to actual common areas listed in Act.</w:t>
            </w:r>
          </w:p>
        </w:tc>
        <w:tc>
          <w:tcPr>
            <w:tcW w:w="4546" w:type="dxa"/>
            <w:tcBorders>
              <w:start w:val="single" w:sz="4" w:space="0" w:color="000000"/>
              <w:bottom w:val="single" w:sz="4" w:space="0" w:color="000000"/>
            </w:tcBorders>
            <w:vAlign w:val="center"/>
          </w:tcPr>
          <w:p>
            <w:pPr>
              <w:pStyle w:val="TableContents"/>
              <w:rPr/>
            </w:pPr>
            <w:r>
              <w:rPr/>
              <w:t>Restore KAOA's 8 types of common areas for UDI calculation.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Under KAOA, UDI was based on value of apartment in relation to value of property (which included common areas). The formula allows promoter to manipulate UDI.</w:t>
            </w:r>
          </w:p>
        </w:tc>
      </w:tr>
      <w:tr>
        <w:trPr>
          <w:cantSplit/>
        </w:trPr>
        <w:tc>
          <w:tcPr>
            <w:tcW w:w="481" w:type="dxa"/>
            <w:tcBorders>
              <w:start w:val="single" w:sz="4" w:space="0" w:color="000000"/>
              <w:bottom w:val="single" w:sz="4" w:space="0" w:color="000000"/>
            </w:tcBorders>
            <w:vAlign w:val="center"/>
          </w:tcPr>
          <w:p>
            <w:pPr>
              <w:pStyle w:val="TableContents"/>
              <w:rPr/>
            </w:pPr>
            <w:r>
              <w:rPr/>
              <w:t>24</w:t>
            </w:r>
          </w:p>
        </w:tc>
        <w:tc>
          <w:tcPr>
            <w:tcW w:w="985" w:type="dxa"/>
            <w:tcBorders>
              <w:start w:val="single" w:sz="4" w:space="0" w:color="000000"/>
              <w:bottom w:val="single" w:sz="4" w:space="0" w:color="000000"/>
            </w:tcBorders>
            <w:vAlign w:val="center"/>
          </w:tcPr>
          <w:p>
            <w:pPr>
              <w:pStyle w:val="TableContents"/>
              <w:rPr/>
            </w:pPr>
            <w:r>
              <w:rPr/>
              <w:t>3</w:t>
            </w:r>
          </w:p>
        </w:tc>
        <w:tc>
          <w:tcPr>
            <w:tcW w:w="1597" w:type="dxa"/>
            <w:tcBorders>
              <w:start w:val="single" w:sz="4" w:space="0" w:color="000000"/>
              <w:bottom w:val="single" w:sz="4" w:space="0" w:color="000000"/>
            </w:tcBorders>
            <w:vAlign w:val="center"/>
          </w:tcPr>
          <w:p>
            <w:pPr>
              <w:pStyle w:val="TableContents"/>
              <w:rPr/>
            </w:pPr>
            <w:r>
              <w:rPr/>
              <w:t>UDI/Loan</w:t>
            </w:r>
          </w:p>
        </w:tc>
        <w:tc>
          <w:tcPr>
            <w:tcW w:w="3921" w:type="dxa"/>
            <w:tcBorders>
              <w:start w:val="single" w:sz="4" w:space="0" w:color="000000"/>
              <w:bottom w:val="single" w:sz="4" w:space="0" w:color="000000"/>
            </w:tcBorders>
            <w:vAlign w:val="center"/>
          </w:tcPr>
          <w:p>
            <w:pPr>
              <w:pStyle w:val="TableContents"/>
              <w:rPr/>
            </w:pPr>
            <w:r>
              <w:rPr/>
              <w:t>Split-title model: buyer owns apartment, Association owns common areas. UDI no longer appurtenant to apartment.</w:t>
            </w:r>
          </w:p>
        </w:tc>
        <w:tc>
          <w:tcPr>
            <w:tcW w:w="4546" w:type="dxa"/>
            <w:tcBorders>
              <w:start w:val="single" w:sz="4" w:space="0" w:color="000000"/>
              <w:bottom w:val="single" w:sz="4" w:space="0" w:color="000000"/>
            </w:tcBorders>
            <w:vAlign w:val="center"/>
          </w:tcPr>
          <w:p>
            <w:pPr>
              <w:pStyle w:val="TableContents"/>
              <w:rPr/>
            </w:pPr>
            <w:r>
              <w:rPr/>
              <w:t>Restore the KAOA UDI Model: Define UDI in dedicated section, making it appurtenant to apartment. Common areas conveyed to individual buyers as UDI, not to Association as separate entity.</w:t>
            </w:r>
          </w:p>
        </w:tc>
        <w:tc>
          <w:tcPr>
            <w:tcW w:w="4402" w:type="dxa"/>
            <w:tcBorders>
              <w:start w:val="single" w:sz="4" w:space="0" w:color="000000"/>
              <w:bottom w:val="single" w:sz="4" w:space="0" w:color="000000"/>
              <w:end w:val="single" w:sz="4" w:space="0" w:color="000000"/>
            </w:tcBorders>
            <w:vAlign w:val="center"/>
          </w:tcPr>
          <w:p>
            <w:pPr>
              <w:pStyle w:val="TableContents"/>
              <w:rPr/>
            </w:pPr>
            <w:r>
              <w:rPr/>
              <w:t>Creates incomplete title for buyer. Violates Benami Transactions Act. Conflicts with SARFAESI Act. Prevents buyers from obtaining loans against full property value. Creates fraud and tax evasion through partial declaration.</w:t>
            </w:r>
          </w:p>
        </w:tc>
      </w:tr>
      <w:tr>
        <w:trPr>
          <w:cantSplit/>
        </w:trPr>
        <w:tc>
          <w:tcPr>
            <w:tcW w:w="481" w:type="dxa"/>
            <w:tcBorders>
              <w:start w:val="single" w:sz="4" w:space="0" w:color="000000"/>
              <w:bottom w:val="single" w:sz="4" w:space="0" w:color="000000"/>
            </w:tcBorders>
            <w:vAlign w:val="center"/>
          </w:tcPr>
          <w:p>
            <w:pPr>
              <w:pStyle w:val="TableContents"/>
              <w:rPr/>
            </w:pPr>
            <w:r>
              <w:rPr/>
              <w:t>25</w:t>
            </w:r>
          </w:p>
        </w:tc>
        <w:tc>
          <w:tcPr>
            <w:tcW w:w="985" w:type="dxa"/>
            <w:tcBorders>
              <w:start w:val="single" w:sz="4" w:space="0" w:color="000000"/>
              <w:bottom w:val="single" w:sz="4" w:space="0" w:color="000000"/>
            </w:tcBorders>
            <w:vAlign w:val="center"/>
          </w:tcPr>
          <w:p>
            <w:pPr>
              <w:pStyle w:val="TableContents"/>
              <w:rPr/>
            </w:pPr>
            <w:r>
              <w:rPr/>
              <w:t>3</w:t>
            </w:r>
          </w:p>
        </w:tc>
        <w:tc>
          <w:tcPr>
            <w:tcW w:w="1597" w:type="dxa"/>
            <w:tcBorders>
              <w:start w:val="single" w:sz="4" w:space="0" w:color="000000"/>
              <w:bottom w:val="single" w:sz="4" w:space="0" w:color="000000"/>
            </w:tcBorders>
            <w:vAlign w:val="center"/>
          </w:tcPr>
          <w:p>
            <w:pPr>
              <w:pStyle w:val="TableContents"/>
              <w:rPr/>
            </w:pPr>
            <w:r>
              <w:rPr/>
              <w:t>UDI/Loan/Constitutional</w:t>
            </w:r>
          </w:p>
        </w:tc>
        <w:tc>
          <w:tcPr>
            <w:tcW w:w="3921" w:type="dxa"/>
            <w:tcBorders>
              <w:start w:val="single" w:sz="4" w:space="0" w:color="000000"/>
              <w:bottom w:val="single" w:sz="4" w:space="0" w:color="000000"/>
            </w:tcBorders>
            <w:vAlign w:val="center"/>
          </w:tcPr>
          <w:p>
            <w:pPr>
              <w:pStyle w:val="TableContents"/>
              <w:rPr/>
            </w:pPr>
            <w:r>
              <w:rPr/>
              <w:t>Buyer cannot mortgage UDI because it's not a property right - it's a membership right. Banks cannot accept membership rights as security.</w:t>
            </w:r>
          </w:p>
        </w:tc>
        <w:tc>
          <w:tcPr>
            <w:tcW w:w="4546" w:type="dxa"/>
            <w:tcBorders>
              <w:start w:val="single" w:sz="4" w:space="0" w:color="000000"/>
              <w:bottom w:val="single" w:sz="4" w:space="0" w:color="000000"/>
            </w:tcBorders>
            <w:vAlign w:val="center"/>
          </w:tcPr>
          <w:p>
            <w:pPr>
              <w:pStyle w:val="TableContents"/>
              <w:rPr/>
            </w:pPr>
            <w:r>
              <w:rPr/>
              <w:t>Amend to make UDI appurtenant to apartment and mortgageable as part of the property bundle.</w:t>
            </w:r>
          </w:p>
        </w:tc>
        <w:tc>
          <w:tcPr>
            <w:tcW w:w="4402" w:type="dxa"/>
            <w:tcBorders>
              <w:start w:val="single" w:sz="4" w:space="0" w:color="000000"/>
              <w:bottom w:val="single" w:sz="4" w:space="0" w:color="000000"/>
              <w:end w:val="single" w:sz="4" w:space="0" w:color="000000"/>
            </w:tcBorders>
            <w:vAlign w:val="center"/>
          </w:tcPr>
          <w:p>
            <w:pPr>
              <w:pStyle w:val="TableContents"/>
              <w:rPr/>
            </w:pPr>
            <w:r>
              <w:rPr/>
              <w:t>Reduced Loan Amount: Buyer cannot show worth of UDI because it's owned by Association. No demonstrable linkage between apartment and Association share. Membership right cannot be mortgaged.</w:t>
            </w:r>
          </w:p>
        </w:tc>
      </w:tr>
      <w:tr>
        <w:trPr>
          <w:cantSplit/>
        </w:trPr>
        <w:tc>
          <w:tcPr>
            <w:tcW w:w="481" w:type="dxa"/>
            <w:tcBorders>
              <w:start w:val="single" w:sz="4" w:space="0" w:color="000000"/>
              <w:bottom w:val="single" w:sz="4" w:space="0" w:color="000000"/>
            </w:tcBorders>
            <w:vAlign w:val="center"/>
          </w:tcPr>
          <w:p>
            <w:pPr>
              <w:pStyle w:val="TableContents"/>
              <w:rPr/>
            </w:pPr>
            <w:r>
              <w:rPr/>
              <w:t>26</w:t>
            </w:r>
          </w:p>
        </w:tc>
        <w:tc>
          <w:tcPr>
            <w:tcW w:w="985" w:type="dxa"/>
            <w:tcBorders>
              <w:start w:val="single" w:sz="4" w:space="0" w:color="000000"/>
              <w:bottom w:val="single" w:sz="4" w:space="0" w:color="000000"/>
            </w:tcBorders>
            <w:vAlign w:val="center"/>
          </w:tcPr>
          <w:p>
            <w:pPr>
              <w:pStyle w:val="TableContents"/>
              <w:rPr/>
            </w:pPr>
            <w:r>
              <w:rPr/>
              <w:t>3</w:t>
            </w:r>
          </w:p>
        </w:tc>
        <w:tc>
          <w:tcPr>
            <w:tcW w:w="1597" w:type="dxa"/>
            <w:tcBorders>
              <w:start w:val="single" w:sz="4" w:space="0" w:color="000000"/>
              <w:bottom w:val="single" w:sz="4" w:space="0" w:color="000000"/>
            </w:tcBorders>
            <w:vAlign w:val="center"/>
          </w:tcPr>
          <w:p>
            <w:pPr>
              <w:pStyle w:val="TableContents"/>
              <w:rPr/>
            </w:pPr>
            <w:r>
              <w:rPr/>
              <w:t>Constitutional/Legal</w:t>
            </w:r>
          </w:p>
        </w:tc>
        <w:tc>
          <w:tcPr>
            <w:tcW w:w="3921" w:type="dxa"/>
            <w:tcBorders>
              <w:start w:val="single" w:sz="4" w:space="0" w:color="000000"/>
              <w:bottom w:val="single" w:sz="4" w:space="0" w:color="000000"/>
            </w:tcBorders>
            <w:vAlign w:val="center"/>
          </w:tcPr>
          <w:p>
            <w:pPr>
              <w:pStyle w:val="TableContents"/>
              <w:rPr/>
            </w:pPr>
            <w:r>
              <w:rPr/>
              <w:t>The split-title model creates a potential benami transaction (PBPA#2(9)), where Association holds common areas for benefit of buyers who provided consideration.</w:t>
            </w:r>
          </w:p>
        </w:tc>
        <w:tc>
          <w:tcPr>
            <w:tcW w:w="4546" w:type="dxa"/>
            <w:tcBorders>
              <w:start w:val="single" w:sz="4" w:space="0" w:color="000000"/>
              <w:bottom w:val="single" w:sz="4" w:space="0" w:color="000000"/>
            </w:tcBorders>
            <w:vAlign w:val="center"/>
          </w:tcPr>
          <w:p>
            <w:pPr>
              <w:pStyle w:val="TableContents"/>
              <w:rPr/>
            </w:pPr>
            <w:r>
              <w:rPr/>
              <w:t>Amend to ensure common areas are held by individual buyers as UDI appurtenant to their apartments, not by Association as separate entity.</w:t>
            </w:r>
          </w:p>
        </w:tc>
        <w:tc>
          <w:tcPr>
            <w:tcW w:w="4402" w:type="dxa"/>
            <w:tcBorders>
              <w:start w:val="single" w:sz="4" w:space="0" w:color="000000"/>
              <w:bottom w:val="single" w:sz="4" w:space="0" w:color="000000"/>
              <w:end w:val="single" w:sz="4" w:space="0" w:color="000000"/>
            </w:tcBorders>
            <w:vAlign w:val="center"/>
          </w:tcPr>
          <w:p>
            <w:pPr>
              <w:pStyle w:val="TableContents"/>
              <w:rPr/>
            </w:pPr>
            <w:r>
              <w:rPr/>
              <w:t>Benami Transactions Act violation: Property transferred to Association (benamidar) but consideration provided by buyers (beneficial owners).</w:t>
            </w:r>
          </w:p>
        </w:tc>
      </w:tr>
      <w:tr>
        <w:trPr>
          <w:cantSplit/>
        </w:trPr>
        <w:tc>
          <w:tcPr>
            <w:tcW w:w="481" w:type="dxa"/>
            <w:tcBorders>
              <w:start w:val="single" w:sz="4" w:space="0" w:color="000000"/>
              <w:bottom w:val="single" w:sz="4" w:space="0" w:color="000000"/>
            </w:tcBorders>
            <w:vAlign w:val="center"/>
          </w:tcPr>
          <w:p>
            <w:pPr>
              <w:pStyle w:val="TableContents"/>
              <w:rPr/>
            </w:pPr>
            <w:r>
              <w:rPr/>
              <w:t>27</w:t>
            </w:r>
          </w:p>
        </w:tc>
        <w:tc>
          <w:tcPr>
            <w:tcW w:w="985" w:type="dxa"/>
            <w:tcBorders>
              <w:start w:val="single" w:sz="4" w:space="0" w:color="000000"/>
              <w:bottom w:val="single" w:sz="4" w:space="0" w:color="000000"/>
            </w:tcBorders>
            <w:vAlign w:val="center"/>
          </w:tcPr>
          <w:p>
            <w:pPr>
              <w:pStyle w:val="TableContents"/>
              <w:rPr/>
            </w:pPr>
            <w:r>
              <w:rPr/>
              <w:t>3</w:t>
            </w:r>
          </w:p>
        </w:tc>
        <w:tc>
          <w:tcPr>
            <w:tcW w:w="1597" w:type="dxa"/>
            <w:tcBorders>
              <w:start w:val="single" w:sz="4" w:space="0" w:color="000000"/>
              <w:bottom w:val="single" w:sz="4" w:space="0" w:color="000000"/>
            </w:tcBorders>
            <w:vAlign w:val="center"/>
          </w:tcPr>
          <w:p>
            <w:pPr>
              <w:pStyle w:val="TableContents"/>
              <w:rPr/>
            </w:pPr>
            <w:r>
              <w:rPr/>
              <w:t>Constitutional/Legal</w:t>
            </w:r>
          </w:p>
        </w:tc>
        <w:tc>
          <w:tcPr>
            <w:tcW w:w="3921" w:type="dxa"/>
            <w:tcBorders>
              <w:start w:val="single" w:sz="4" w:space="0" w:color="000000"/>
              <w:bottom w:val="single" w:sz="4" w:space="0" w:color="000000"/>
            </w:tcBorders>
            <w:vAlign w:val="center"/>
          </w:tcPr>
          <w:p>
            <w:pPr>
              <w:pStyle w:val="TableContents"/>
              <w:rPr/>
            </w:pPr>
            <w:r>
              <w:rPr/>
              <w:t>The split-title model creates material defect in title (ToPA#55(1)(a)) and may constitute fraud (ICA#17).</w:t>
            </w:r>
          </w:p>
        </w:tc>
        <w:tc>
          <w:tcPr>
            <w:tcW w:w="4546" w:type="dxa"/>
            <w:tcBorders>
              <w:start w:val="single" w:sz="4" w:space="0" w:color="000000"/>
              <w:bottom w:val="single" w:sz="4" w:space="0" w:color="000000"/>
            </w:tcBorders>
            <w:vAlign w:val="center"/>
          </w:tcPr>
          <w:p>
            <w:pPr>
              <w:pStyle w:val="TableContents"/>
              <w:rPr/>
            </w:pPr>
            <w:r>
              <w:rPr/>
              <w:t>Amend to ensure complete title is conveyed to buyer, with UDI appurtenant.</w:t>
            </w:r>
          </w:p>
        </w:tc>
        <w:tc>
          <w:tcPr>
            <w:tcW w:w="4402" w:type="dxa"/>
            <w:tcBorders>
              <w:start w:val="single" w:sz="4" w:space="0" w:color="000000"/>
              <w:bottom w:val="single" w:sz="4" w:space="0" w:color="000000"/>
              <w:end w:val="single" w:sz="4" w:space="0" w:color="000000"/>
            </w:tcBorders>
            <w:vAlign w:val="center"/>
          </w:tcPr>
          <w:p>
            <w:pPr>
              <w:pStyle w:val="TableContents"/>
              <w:rPr/>
            </w:pPr>
            <w:r>
              <w:rPr/>
              <w:t>Seller does not disclose split-title arrangement. Buyer is led to believe they are purchasing complete property, but receive only apartment.</w:t>
            </w:r>
          </w:p>
        </w:tc>
      </w:tr>
      <w:tr>
        <w:trPr>
          <w:cantSplit/>
        </w:trPr>
        <w:tc>
          <w:tcPr>
            <w:tcW w:w="481" w:type="dxa"/>
            <w:tcBorders>
              <w:start w:val="single" w:sz="4" w:space="0" w:color="000000"/>
              <w:bottom w:val="single" w:sz="4" w:space="0" w:color="000000"/>
            </w:tcBorders>
            <w:vAlign w:val="center"/>
          </w:tcPr>
          <w:p>
            <w:pPr>
              <w:pStyle w:val="TableContents"/>
              <w:rPr/>
            </w:pPr>
            <w:r>
              <w:rPr/>
              <w:t>28</w:t>
            </w:r>
          </w:p>
        </w:tc>
        <w:tc>
          <w:tcPr>
            <w:tcW w:w="985" w:type="dxa"/>
            <w:tcBorders>
              <w:start w:val="single" w:sz="4" w:space="0" w:color="000000"/>
              <w:bottom w:val="single" w:sz="4" w:space="0" w:color="000000"/>
            </w:tcBorders>
            <w:vAlign w:val="center"/>
          </w:tcPr>
          <w:p>
            <w:pPr>
              <w:pStyle w:val="TableContents"/>
              <w:rPr/>
            </w:pPr>
            <w:r>
              <w:rPr/>
              <w:t>3</w:t>
            </w:r>
          </w:p>
        </w:tc>
        <w:tc>
          <w:tcPr>
            <w:tcW w:w="1597" w:type="dxa"/>
            <w:tcBorders>
              <w:start w:val="single" w:sz="4" w:space="0" w:color="000000"/>
              <w:bottom w:val="single" w:sz="4" w:space="0" w:color="000000"/>
            </w:tcBorders>
            <w:vAlign w:val="center"/>
          </w:tcPr>
          <w:p>
            <w:pPr>
              <w:pStyle w:val="TableContents"/>
              <w:rPr/>
            </w:pPr>
            <w:r>
              <w:rPr/>
              <w:t>UDI/Mixed-Use</w:t>
            </w:r>
          </w:p>
        </w:tc>
        <w:tc>
          <w:tcPr>
            <w:tcW w:w="3921" w:type="dxa"/>
            <w:tcBorders>
              <w:start w:val="single" w:sz="4" w:space="0" w:color="000000"/>
              <w:bottom w:val="single" w:sz="4" w:space="0" w:color="000000"/>
            </w:tcBorders>
            <w:vAlign w:val="center"/>
          </w:tcPr>
          <w:p>
            <w:pPr>
              <w:pStyle w:val="TableContents"/>
              <w:rPr/>
            </w:pPr>
            <w:r>
              <w:rPr/>
              <w:t>Mixed-use UDI ambiguity - "proportionately allocating the common areas and facilities having regard to the relative extent of land and built area dedicated to each use" is vague.</w:t>
            </w:r>
          </w:p>
        </w:tc>
        <w:tc>
          <w:tcPr>
            <w:tcW w:w="4546" w:type="dxa"/>
            <w:tcBorders>
              <w:start w:val="single" w:sz="4" w:space="0" w:color="000000"/>
              <w:bottom w:val="single" w:sz="4" w:space="0" w:color="000000"/>
            </w:tcBorders>
            <w:vAlign w:val="center"/>
          </w:tcPr>
          <w:p>
            <w:pPr>
              <w:pStyle w:val="TableContents"/>
              <w:rPr/>
            </w:pPr>
            <w:r>
              <w:rPr/>
              <w:t>Specify that UDI in mixed-use projects must be approved by Competent Authority based on objective criteria.</w:t>
            </w:r>
          </w:p>
        </w:tc>
        <w:tc>
          <w:tcPr>
            <w:tcW w:w="4402" w:type="dxa"/>
            <w:tcBorders>
              <w:start w:val="single" w:sz="4" w:space="0" w:color="000000"/>
              <w:bottom w:val="single" w:sz="4" w:space="0" w:color="000000"/>
              <w:end w:val="single" w:sz="4" w:space="0" w:color="000000"/>
            </w:tcBorders>
            <w:vAlign w:val="center"/>
          </w:tcPr>
          <w:p>
            <w:pPr>
              <w:pStyle w:val="TableContents"/>
              <w:rPr/>
            </w:pPr>
            <w:r>
              <w:rPr/>
              <w:t>No objective criteria. Commercial owners could claim they should pay less for common areas; residential owners could claim opposite.</w:t>
            </w:r>
          </w:p>
        </w:tc>
      </w:tr>
      <w:tr>
        <w:trPr>
          <w:cantSplit/>
        </w:trPr>
        <w:tc>
          <w:tcPr>
            <w:tcW w:w="481" w:type="dxa"/>
            <w:tcBorders>
              <w:start w:val="single" w:sz="4" w:space="0" w:color="000000"/>
              <w:bottom w:val="single" w:sz="4" w:space="0" w:color="000000"/>
            </w:tcBorders>
            <w:vAlign w:val="center"/>
          </w:tcPr>
          <w:p>
            <w:pPr>
              <w:pStyle w:val="TableContents"/>
              <w:rPr/>
            </w:pPr>
            <w:r>
              <w:rPr/>
              <w:t>29</w:t>
            </w:r>
          </w:p>
        </w:tc>
        <w:tc>
          <w:tcPr>
            <w:tcW w:w="985" w:type="dxa"/>
            <w:tcBorders>
              <w:start w:val="single" w:sz="4" w:space="0" w:color="000000"/>
              <w:bottom w:val="single" w:sz="4" w:space="0" w:color="000000"/>
            </w:tcBorders>
            <w:vAlign w:val="center"/>
          </w:tcPr>
          <w:p>
            <w:pPr>
              <w:pStyle w:val="TableContents"/>
              <w:rPr/>
            </w:pPr>
            <w:r>
              <w:rPr/>
              <w:t>3, 11</w:t>
            </w:r>
          </w:p>
        </w:tc>
        <w:tc>
          <w:tcPr>
            <w:tcW w:w="1597" w:type="dxa"/>
            <w:tcBorders>
              <w:start w:val="single" w:sz="4" w:space="0" w:color="000000"/>
              <w:bottom w:val="single" w:sz="4" w:space="0" w:color="000000"/>
            </w:tcBorders>
            <w:vAlign w:val="center"/>
          </w:tcPr>
          <w:p>
            <w:pPr>
              <w:pStyle w:val="TableContents"/>
              <w:rPr/>
            </w:pPr>
            <w:r>
              <w:rPr/>
              <w:t>UDI/Property</w:t>
            </w:r>
          </w:p>
        </w:tc>
        <w:tc>
          <w:tcPr>
            <w:tcW w:w="3921" w:type="dxa"/>
            <w:tcBorders>
              <w:start w:val="single" w:sz="4" w:space="0" w:color="000000"/>
              <w:bottom w:val="single" w:sz="4" w:space="0" w:color="000000"/>
            </w:tcBorders>
            <w:vAlign w:val="center"/>
          </w:tcPr>
          <w:p>
            <w:pPr>
              <w:pStyle w:val="TableContents"/>
              <w:rPr/>
            </w:pPr>
            <w:r>
              <w:rPr/>
              <w:t>Section 3 says apartment has UDI in common areas; Section 10(2) transfers management of common areas to Association. This effectively separates ownership of apartment from ownership of common areas.</w:t>
            </w:r>
          </w:p>
        </w:tc>
        <w:tc>
          <w:tcPr>
            <w:tcW w:w="4546" w:type="dxa"/>
            <w:tcBorders>
              <w:start w:val="single" w:sz="4" w:space="0" w:color="000000"/>
              <w:bottom w:val="single" w:sz="4" w:space="0" w:color="000000"/>
            </w:tcBorders>
            <w:vAlign w:val="center"/>
          </w:tcPr>
          <w:p>
            <w:pPr>
              <w:pStyle w:val="TableContents"/>
              <w:rPr/>
            </w:pPr>
            <w:r>
              <w:rPr/>
              <w:t>Reconcile to ensure UDI remains appurtenant. Common areas should be owned by individual buyers as UDI, with Association only managing, not owning.</w:t>
            </w:r>
          </w:p>
        </w:tc>
        <w:tc>
          <w:tcPr>
            <w:tcW w:w="4402" w:type="dxa"/>
            <w:tcBorders>
              <w:start w:val="single" w:sz="4" w:space="0" w:color="000000"/>
              <w:bottom w:val="single" w:sz="4" w:space="0" w:color="000000"/>
              <w:end w:val="single" w:sz="4" w:space="0" w:color="000000"/>
            </w:tcBorders>
            <w:vAlign w:val="center"/>
          </w:tcPr>
          <w:p>
            <w:pPr>
              <w:pStyle w:val="TableContents"/>
              <w:rPr/>
            </w:pPr>
            <w:r>
              <w:rPr/>
              <w:t>Fundamental Contradiction: The bundle (apartment+UDI) is no longer a single, indivisible property. Violates fundamental purpose of KAOA.</w:t>
            </w:r>
          </w:p>
        </w:tc>
      </w:tr>
      <w:tr>
        <w:trPr>
          <w:cantSplit/>
        </w:trPr>
        <w:tc>
          <w:tcPr>
            <w:tcW w:w="481" w:type="dxa"/>
            <w:tcBorders>
              <w:start w:val="single" w:sz="4" w:space="0" w:color="000000"/>
              <w:bottom w:val="single" w:sz="4" w:space="0" w:color="000000"/>
            </w:tcBorders>
            <w:vAlign w:val="center"/>
          </w:tcPr>
          <w:p>
            <w:pPr>
              <w:pStyle w:val="TableContents"/>
              <w:rPr/>
            </w:pPr>
            <w:r>
              <w:rPr/>
              <w:t>30</w:t>
            </w:r>
          </w:p>
        </w:tc>
        <w:tc>
          <w:tcPr>
            <w:tcW w:w="985" w:type="dxa"/>
            <w:tcBorders>
              <w:start w:val="single" w:sz="4" w:space="0" w:color="000000"/>
              <w:bottom w:val="single" w:sz="4" w:space="0" w:color="000000"/>
            </w:tcBorders>
            <w:vAlign w:val="center"/>
          </w:tcPr>
          <w:p>
            <w:pPr>
              <w:pStyle w:val="TableContents"/>
              <w:rPr/>
            </w:pPr>
            <w:r>
              <w:rPr/>
              <w:t>4</w:t>
            </w:r>
          </w:p>
        </w:tc>
        <w:tc>
          <w:tcPr>
            <w:tcW w:w="1597" w:type="dxa"/>
            <w:tcBorders>
              <w:start w:val="single" w:sz="4" w:space="0" w:color="000000"/>
              <w:bottom w:val="single" w:sz="4" w:space="0" w:color="000000"/>
            </w:tcBorders>
            <w:vAlign w:val="center"/>
          </w:tcPr>
          <w:p>
            <w:pPr>
              <w:pStyle w:val="TableContents"/>
              <w:rPr/>
            </w:pPr>
            <w:r>
              <w:rPr/>
              <w:t>Legal</w:t>
            </w:r>
          </w:p>
        </w:tc>
        <w:tc>
          <w:tcPr>
            <w:tcW w:w="3921" w:type="dxa"/>
            <w:tcBorders>
              <w:start w:val="single" w:sz="4" w:space="0" w:color="000000"/>
              <w:bottom w:val="single" w:sz="4" w:space="0" w:color="000000"/>
            </w:tcBorders>
            <w:vAlign w:val="center"/>
          </w:tcPr>
          <w:p>
            <w:pPr>
              <w:pStyle w:val="TableContents"/>
              <w:rPr/>
            </w:pPr>
            <w:r>
              <w:rPr/>
              <w:t>Section 4 declares apartment "heritable and transferable" but since common area interest is not appurtenant (owned by Association), inheritance/transfer of apartment doesn't automatically carry common area interest.</w:t>
            </w:r>
          </w:p>
        </w:tc>
        <w:tc>
          <w:tcPr>
            <w:tcW w:w="4546" w:type="dxa"/>
            <w:tcBorders>
              <w:start w:val="single" w:sz="4" w:space="0" w:color="000000"/>
              <w:bottom w:val="single" w:sz="4" w:space="0" w:color="000000"/>
            </w:tcBorders>
            <w:vAlign w:val="center"/>
          </w:tcPr>
          <w:p>
            <w:pPr>
              <w:pStyle w:val="TableContents"/>
              <w:rPr/>
            </w:pPr>
            <w:r>
              <w:rPr/>
              <w:t>Ensure common area interest passes automatically with apartment.</w:t>
            </w:r>
          </w:p>
        </w:tc>
        <w:tc>
          <w:tcPr>
            <w:tcW w:w="4402" w:type="dxa"/>
            <w:tcBorders>
              <w:start w:val="single" w:sz="4" w:space="0" w:color="000000"/>
              <w:bottom w:val="single" w:sz="4" w:space="0" w:color="000000"/>
              <w:end w:val="single" w:sz="4" w:space="0" w:color="000000"/>
            </w:tcBorders>
            <w:vAlign w:val="center"/>
          </w:tcPr>
          <w:p>
            <w:pPr>
              <w:pStyle w:val="TableContents"/>
              <w:rPr/>
            </w:pPr>
            <w:r>
              <w:rPr/>
              <w:t>Replicates KCSA problem where buyer's interest in land and common areas is not recorded. Inheritance of apartment ≠ inheritance of common area interest.</w:t>
            </w:r>
          </w:p>
        </w:tc>
      </w:tr>
      <w:tr>
        <w:trPr>
          <w:cantSplit/>
        </w:trPr>
        <w:tc>
          <w:tcPr>
            <w:tcW w:w="481" w:type="dxa"/>
            <w:tcBorders>
              <w:start w:val="single" w:sz="4" w:space="0" w:color="000000"/>
              <w:bottom w:val="single" w:sz="4" w:space="0" w:color="000000"/>
            </w:tcBorders>
            <w:vAlign w:val="center"/>
          </w:tcPr>
          <w:p>
            <w:pPr>
              <w:pStyle w:val="TableContents"/>
              <w:rPr/>
            </w:pPr>
            <w:r>
              <w:rPr/>
              <w:t>31</w:t>
            </w:r>
          </w:p>
        </w:tc>
        <w:tc>
          <w:tcPr>
            <w:tcW w:w="985" w:type="dxa"/>
            <w:tcBorders>
              <w:start w:val="single" w:sz="4" w:space="0" w:color="000000"/>
              <w:bottom w:val="single" w:sz="4" w:space="0" w:color="000000"/>
            </w:tcBorders>
            <w:vAlign w:val="center"/>
          </w:tcPr>
          <w:p>
            <w:pPr>
              <w:pStyle w:val="TableContents"/>
              <w:rPr/>
            </w:pPr>
            <w:r>
              <w:rPr/>
              <w:t>4</w:t>
            </w:r>
          </w:p>
        </w:tc>
        <w:tc>
          <w:tcPr>
            <w:tcW w:w="1597" w:type="dxa"/>
            <w:tcBorders>
              <w:start w:val="single" w:sz="4" w:space="0" w:color="000000"/>
              <w:bottom w:val="single" w:sz="4" w:space="0" w:color="000000"/>
            </w:tcBorders>
            <w:vAlign w:val="center"/>
          </w:tcPr>
          <w:p>
            <w:pPr>
              <w:pStyle w:val="TableContents"/>
              <w:rPr/>
            </w:pPr>
            <w:r>
              <w:rPr/>
              <w:t>Transfer</w:t>
            </w:r>
          </w:p>
        </w:tc>
        <w:tc>
          <w:tcPr>
            <w:tcW w:w="3921" w:type="dxa"/>
            <w:tcBorders>
              <w:start w:val="single" w:sz="4" w:space="0" w:color="000000"/>
              <w:bottom w:val="single" w:sz="4" w:space="0" w:color="000000"/>
            </w:tcBorders>
            <w:vAlign w:val="center"/>
          </w:tcPr>
          <w:p>
            <w:pPr>
              <w:pStyle w:val="TableContents"/>
              <w:rPr/>
            </w:pPr>
            <w:r>
              <w:rPr/>
              <w:t>Allows partition/sub-division of apartments "with approval of competent authority" - no requirement to maintain residential character.</w:t>
            </w:r>
          </w:p>
        </w:tc>
        <w:tc>
          <w:tcPr>
            <w:tcW w:w="4546" w:type="dxa"/>
            <w:tcBorders>
              <w:start w:val="single" w:sz="4" w:space="0" w:color="000000"/>
              <w:bottom w:val="single" w:sz="4" w:space="0" w:color="000000"/>
            </w:tcBorders>
            <w:vAlign w:val="center"/>
          </w:tcPr>
          <w:p>
            <w:pPr>
              <w:pStyle w:val="TableContents"/>
              <w:rPr/>
            </w:pPr>
            <w:r>
              <w:rPr/>
              <w:t>Either remove this provision or require UDI recalculation and approval from all affected owners.</w:t>
            </w:r>
          </w:p>
        </w:tc>
        <w:tc>
          <w:tcPr>
            <w:tcW w:w="4402" w:type="dxa"/>
            <w:tcBorders>
              <w:start w:val="single" w:sz="4" w:space="0" w:color="000000"/>
              <w:bottom w:val="single" w:sz="4" w:space="0" w:color="000000"/>
              <w:end w:val="single" w:sz="4" w:space="0" w:color="000000"/>
            </w:tcBorders>
            <w:vAlign w:val="center"/>
          </w:tcPr>
          <w:p>
            <w:pPr>
              <w:pStyle w:val="TableContents"/>
              <w:rPr/>
            </w:pPr>
            <w:r>
              <w:rPr/>
              <w:t>Enables subdivision into smaller commercial units. In mixed-use complex, how is the Executive Committee elected?</w:t>
            </w:r>
          </w:p>
        </w:tc>
      </w:tr>
      <w:tr>
        <w:trPr>
          <w:cantSplit/>
        </w:trPr>
        <w:tc>
          <w:tcPr>
            <w:tcW w:w="481" w:type="dxa"/>
            <w:tcBorders>
              <w:start w:val="single" w:sz="4" w:space="0" w:color="000000"/>
              <w:bottom w:val="single" w:sz="4" w:space="0" w:color="000000"/>
            </w:tcBorders>
            <w:vAlign w:val="center"/>
          </w:tcPr>
          <w:p>
            <w:pPr>
              <w:pStyle w:val="TableContents"/>
              <w:rPr/>
            </w:pPr>
            <w:r>
              <w:rPr/>
              <w:t>32</w:t>
            </w:r>
          </w:p>
        </w:tc>
        <w:tc>
          <w:tcPr>
            <w:tcW w:w="985" w:type="dxa"/>
            <w:tcBorders>
              <w:start w:val="single" w:sz="4" w:space="0" w:color="000000"/>
              <w:bottom w:val="single" w:sz="4" w:space="0" w:color="000000"/>
            </w:tcBorders>
            <w:vAlign w:val="center"/>
          </w:tcPr>
          <w:p>
            <w:pPr>
              <w:pStyle w:val="TableContents"/>
              <w:rPr/>
            </w:pPr>
            <w:r>
              <w:rPr/>
              <w:t>5</w:t>
            </w:r>
          </w:p>
        </w:tc>
        <w:tc>
          <w:tcPr>
            <w:tcW w:w="1597" w:type="dxa"/>
            <w:tcBorders>
              <w:start w:val="single" w:sz="4" w:space="0" w:color="000000"/>
              <w:bottom w:val="single" w:sz="4" w:space="0" w:color="000000"/>
            </w:tcBorders>
            <w:vAlign w:val="center"/>
          </w:tcPr>
          <w:p>
            <w:pPr>
              <w:pStyle w:val="TableContents"/>
              <w:rPr/>
            </w:pPr>
            <w:r>
              <w:rPr/>
              <w:t>Voting</w:t>
            </w:r>
          </w:p>
        </w:tc>
        <w:tc>
          <w:tcPr>
            <w:tcW w:w="3921" w:type="dxa"/>
            <w:tcBorders>
              <w:start w:val="single" w:sz="4" w:space="0" w:color="000000"/>
              <w:bottom w:val="single" w:sz="4" w:space="0" w:color="000000"/>
            </w:tcBorders>
            <w:vAlign w:val="center"/>
          </w:tcPr>
          <w:p>
            <w:pPr>
              <w:pStyle w:val="TableContents"/>
              <w:rPr/>
            </w:pPr>
            <w:r>
              <w:rPr/>
              <w:t>"as may be provided under law and this Act" - excessively vague.</w:t>
            </w:r>
          </w:p>
        </w:tc>
        <w:tc>
          <w:tcPr>
            <w:tcW w:w="4546" w:type="dxa"/>
            <w:tcBorders>
              <w:start w:val="single" w:sz="4" w:space="0" w:color="000000"/>
              <w:bottom w:val="single" w:sz="4" w:space="0" w:color="000000"/>
            </w:tcBorders>
            <w:vAlign w:val="center"/>
          </w:tcPr>
          <w:p>
            <w:pPr>
              <w:pStyle w:val="TableContents"/>
              <w:rPr/>
            </w:pPr>
            <w:r>
              <w:rPr/>
              <w:t>"under section 54 (Penalties) and section 55 (Dispute Resolution) of this Act"</w:t>
            </w:r>
          </w:p>
        </w:tc>
        <w:tc>
          <w:tcPr>
            <w:tcW w:w="4402" w:type="dxa"/>
            <w:tcBorders>
              <w:start w:val="single" w:sz="4" w:space="0" w:color="000000"/>
              <w:bottom w:val="single" w:sz="4" w:space="0" w:color="000000"/>
              <w:end w:val="single" w:sz="4" w:space="0" w:color="000000"/>
            </w:tcBorders>
            <w:vAlign w:val="center"/>
          </w:tcPr>
          <w:p>
            <w:pPr>
              <w:pStyle w:val="TableContents"/>
              <w:rPr/>
            </w:pPr>
            <w:r>
              <w:rPr/>
              <w:t>This is a placeholder; specific sections needed for effectiveness.</w:t>
            </w:r>
          </w:p>
        </w:tc>
      </w:tr>
      <w:tr>
        <w:trPr>
          <w:cantSplit/>
        </w:trPr>
        <w:tc>
          <w:tcPr>
            <w:tcW w:w="481" w:type="dxa"/>
            <w:tcBorders>
              <w:start w:val="single" w:sz="4" w:space="0" w:color="000000"/>
              <w:bottom w:val="single" w:sz="4" w:space="0" w:color="000000"/>
            </w:tcBorders>
            <w:vAlign w:val="center"/>
          </w:tcPr>
          <w:p>
            <w:pPr>
              <w:pStyle w:val="TableContents"/>
              <w:rPr/>
            </w:pPr>
            <w:r>
              <w:rPr/>
              <w:t>33</w:t>
            </w:r>
          </w:p>
        </w:tc>
        <w:tc>
          <w:tcPr>
            <w:tcW w:w="985" w:type="dxa"/>
            <w:tcBorders>
              <w:start w:val="single" w:sz="4" w:space="0" w:color="000000"/>
              <w:bottom w:val="single" w:sz="4" w:space="0" w:color="000000"/>
            </w:tcBorders>
            <w:vAlign w:val="center"/>
          </w:tcPr>
          <w:p>
            <w:pPr>
              <w:pStyle w:val="TableContents"/>
              <w:rPr/>
            </w:pPr>
            <w:r>
              <w:rPr/>
              <w:t>6</w:t>
            </w:r>
          </w:p>
        </w:tc>
        <w:tc>
          <w:tcPr>
            <w:tcW w:w="1597" w:type="dxa"/>
            <w:tcBorders>
              <w:start w:val="single" w:sz="4" w:space="0" w:color="000000"/>
              <w:bottom w:val="single" w:sz="4" w:space="0" w:color="000000"/>
            </w:tcBorders>
            <w:vAlign w:val="center"/>
          </w:tcPr>
          <w:p>
            <w:pPr>
              <w:pStyle w:val="TableContents"/>
              <w:rPr/>
            </w:pPr>
            <w:r>
              <w:rPr/>
              <w:t>Enforcement</w:t>
            </w:r>
          </w:p>
        </w:tc>
        <w:tc>
          <w:tcPr>
            <w:tcW w:w="3921" w:type="dxa"/>
            <w:tcBorders>
              <w:start w:val="single" w:sz="4" w:space="0" w:color="000000"/>
              <w:bottom w:val="single" w:sz="4" w:space="0" w:color="000000"/>
            </w:tcBorders>
            <w:vAlign w:val="center"/>
          </w:tcPr>
          <w:p>
            <w:pPr>
              <w:pStyle w:val="TableContents"/>
              <w:rPr/>
            </w:pPr>
            <w:r>
              <w:rPr/>
              <w:t>Encumbrance verification occurs only at Declaration stage, i.e., after Occupancy Certificate is issued (post-sale). By time CA scrutinizes, flats are already sold.</w:t>
            </w:r>
          </w:p>
        </w:tc>
        <w:tc>
          <w:tcPr>
            <w:tcW w:w="4546" w:type="dxa"/>
            <w:tcBorders>
              <w:start w:val="single" w:sz="4" w:space="0" w:color="000000"/>
              <w:bottom w:val="single" w:sz="4" w:space="0" w:color="000000"/>
            </w:tcBorders>
            <w:vAlign w:val="center"/>
          </w:tcPr>
          <w:p>
            <w:pPr>
              <w:pStyle w:val="TableContents"/>
              <w:rPr/>
            </w:pPr>
            <w:r>
              <w:rPr/>
              <w:t>Insert new clause in Section 16 (Duties of Promoter): "The promoter shall submit an encumbrance certificate along with the sanctioned plan to the Competent Authority prior to the first booking/allotment of any apartment."</w:t>
            </w:r>
          </w:p>
        </w:tc>
        <w:tc>
          <w:tcPr>
            <w:tcW w:w="4402" w:type="dxa"/>
            <w:tcBorders>
              <w:start w:val="single" w:sz="4" w:space="0" w:color="000000"/>
              <w:bottom w:val="single" w:sz="4" w:space="0" w:color="000000"/>
              <w:end w:val="single" w:sz="4" w:space="0" w:color="000000"/>
            </w:tcBorders>
            <w:vAlign w:val="center"/>
          </w:tcPr>
          <w:p>
            <w:pPr>
              <w:pStyle w:val="TableContents"/>
              <w:rPr/>
            </w:pPr>
            <w:r>
              <w:rPr/>
              <w:t>Post-Mortem Jurisdiction: By the time CA scrutinizes encumbrances, flats are already sold. CA cannot prevent title disaster; only record it. Pre-booking scrutiny essential for CA to act as guardian.</w:t>
            </w:r>
          </w:p>
        </w:tc>
      </w:tr>
      <w:tr>
        <w:trPr>
          <w:cantSplit/>
        </w:trPr>
        <w:tc>
          <w:tcPr>
            <w:tcW w:w="481" w:type="dxa"/>
            <w:tcBorders>
              <w:start w:val="single" w:sz="4" w:space="0" w:color="000000"/>
              <w:bottom w:val="single" w:sz="4" w:space="0" w:color="000000"/>
            </w:tcBorders>
            <w:vAlign w:val="center"/>
          </w:tcPr>
          <w:p>
            <w:pPr>
              <w:pStyle w:val="TableContents"/>
              <w:rPr/>
            </w:pPr>
            <w:r>
              <w:rPr/>
              <w:t>34</w:t>
            </w:r>
          </w:p>
        </w:tc>
        <w:tc>
          <w:tcPr>
            <w:tcW w:w="985" w:type="dxa"/>
            <w:tcBorders>
              <w:start w:val="single" w:sz="4" w:space="0" w:color="000000"/>
              <w:bottom w:val="single" w:sz="4" w:space="0" w:color="000000"/>
            </w:tcBorders>
            <w:vAlign w:val="center"/>
          </w:tcPr>
          <w:p>
            <w:pPr>
              <w:pStyle w:val="TableContents"/>
              <w:rPr/>
            </w:pPr>
            <w:r>
              <w:rPr/>
              <w:t>6</w:t>
            </w:r>
          </w:p>
        </w:tc>
        <w:tc>
          <w:tcPr>
            <w:tcW w:w="1597" w:type="dxa"/>
            <w:tcBorders>
              <w:start w:val="single" w:sz="4" w:space="0" w:color="000000"/>
              <w:bottom w:val="single" w:sz="4" w:space="0" w:color="000000"/>
            </w:tcBorders>
            <w:vAlign w:val="center"/>
          </w:tcPr>
          <w:p>
            <w:pPr>
              <w:pStyle w:val="TableContents"/>
              <w:rPr/>
            </w:pPr>
            <w:r>
              <w:rPr/>
              <w:t>Legal</w:t>
            </w:r>
          </w:p>
        </w:tc>
        <w:tc>
          <w:tcPr>
            <w:tcW w:w="3921" w:type="dxa"/>
            <w:tcBorders>
              <w:start w:val="single" w:sz="4" w:space="0" w:color="000000"/>
              <w:bottom w:val="single" w:sz="4" w:space="0" w:color="000000"/>
            </w:tcBorders>
            <w:vAlign w:val="center"/>
          </w:tcPr>
          <w:p>
            <w:pPr>
              <w:pStyle w:val="TableContents"/>
              <w:rPr/>
            </w:pPr>
            <w:r>
              <w:rPr/>
              <w:t>Section 6(1) requires promoter to disclose encumbrances but failure to disclose has no consequence.</w:t>
            </w:r>
          </w:p>
        </w:tc>
        <w:tc>
          <w:tcPr>
            <w:tcW w:w="4546" w:type="dxa"/>
            <w:tcBorders>
              <w:start w:val="single" w:sz="4" w:space="0" w:color="000000"/>
              <w:bottom w:val="single" w:sz="4" w:space="0" w:color="000000"/>
            </w:tcBorders>
            <w:vAlign w:val="center"/>
          </w:tcPr>
          <w:p>
            <w:pPr>
              <w:pStyle w:val="TableContents"/>
              <w:rPr/>
            </w:pPr>
            <w:r>
              <w:rPr/>
              <w:t>Add: "...and failure to disclose shall render the promoter liable under section 54"</w:t>
            </w:r>
          </w:p>
        </w:tc>
        <w:tc>
          <w:tcPr>
            <w:tcW w:w="4402" w:type="dxa"/>
            <w:tcBorders>
              <w:start w:val="single" w:sz="4" w:space="0" w:color="000000"/>
              <w:bottom w:val="single" w:sz="4" w:space="0" w:color="000000"/>
              <w:end w:val="single" w:sz="4" w:space="0" w:color="000000"/>
            </w:tcBorders>
            <w:vAlign w:val="center"/>
          </w:tcPr>
          <w:p>
            <w:pPr>
              <w:pStyle w:val="TableContents"/>
              <w:rPr/>
            </w:pPr>
            <w:r>
              <w:rPr/>
              <w:t>Missing enforcement link. Without consequence, disclosure requirement is toothless.</w:t>
            </w:r>
          </w:p>
        </w:tc>
      </w:tr>
      <w:tr>
        <w:trPr>
          <w:cantSplit/>
        </w:trPr>
        <w:tc>
          <w:tcPr>
            <w:tcW w:w="481" w:type="dxa"/>
            <w:tcBorders>
              <w:start w:val="single" w:sz="4" w:space="0" w:color="000000"/>
              <w:bottom w:val="single" w:sz="4" w:space="0" w:color="000000"/>
            </w:tcBorders>
            <w:vAlign w:val="center"/>
          </w:tcPr>
          <w:p>
            <w:pPr>
              <w:pStyle w:val="TableContents"/>
              <w:rPr/>
            </w:pPr>
            <w:r>
              <w:rPr/>
              <w:t>35</w:t>
            </w:r>
          </w:p>
        </w:tc>
        <w:tc>
          <w:tcPr>
            <w:tcW w:w="985" w:type="dxa"/>
            <w:tcBorders>
              <w:start w:val="single" w:sz="4" w:space="0" w:color="000000"/>
              <w:bottom w:val="single" w:sz="4" w:space="0" w:color="000000"/>
            </w:tcBorders>
            <w:vAlign w:val="center"/>
          </w:tcPr>
          <w:p>
            <w:pPr>
              <w:pStyle w:val="TableContents"/>
              <w:rPr/>
            </w:pPr>
            <w:r>
              <w:rPr/>
              <w:t>6(7), 7</w:t>
            </w:r>
          </w:p>
        </w:tc>
        <w:tc>
          <w:tcPr>
            <w:tcW w:w="1597" w:type="dxa"/>
            <w:tcBorders>
              <w:start w:val="single" w:sz="4" w:space="0" w:color="000000"/>
              <w:bottom w:val="single" w:sz="4" w:space="0" w:color="000000"/>
            </w:tcBorders>
            <w:vAlign w:val="center"/>
          </w:tcPr>
          <w:p>
            <w:pPr>
              <w:pStyle w:val="TableContents"/>
              <w:rPr/>
            </w:pPr>
            <w:r>
              <w:rPr/>
              <w:t>Commercial</w:t>
            </w:r>
          </w:p>
        </w:tc>
        <w:tc>
          <w:tcPr>
            <w:tcW w:w="3921" w:type="dxa"/>
            <w:tcBorders>
              <w:start w:val="single" w:sz="4" w:space="0" w:color="000000"/>
              <w:bottom w:val="single" w:sz="4" w:space="0" w:color="000000"/>
            </w:tcBorders>
            <w:vAlign w:val="center"/>
          </w:tcPr>
          <w:p>
            <w:pPr>
              <w:pStyle w:val="TableContents"/>
              <w:rPr/>
            </w:pPr>
            <w:r>
              <w:rPr/>
              <w:t>"This makes sense only for residential units, not for commercial units!" - Dissimilar apartments can be merged.</w:t>
            </w:r>
          </w:p>
        </w:tc>
        <w:tc>
          <w:tcPr>
            <w:tcW w:w="4546" w:type="dxa"/>
            <w:tcBorders>
              <w:start w:val="single" w:sz="4" w:space="0" w:color="000000"/>
              <w:bottom w:val="single" w:sz="4" w:space="0" w:color="000000"/>
            </w:tcBorders>
            <w:vAlign w:val="center"/>
          </w:tcPr>
          <w:p>
            <w:pPr>
              <w:pStyle w:val="TableContents"/>
              <w:rPr/>
            </w:pPr>
            <w:r>
              <w:rPr/>
              <w:t>Add restriction: No merger that changes use from residential to commercial without approval.</w:t>
            </w:r>
          </w:p>
        </w:tc>
        <w:tc>
          <w:tcPr>
            <w:tcW w:w="4402" w:type="dxa"/>
            <w:tcBorders>
              <w:start w:val="single" w:sz="4" w:space="0" w:color="000000"/>
              <w:bottom w:val="single" w:sz="4" w:space="0" w:color="000000"/>
              <w:end w:val="single" w:sz="4" w:space="0" w:color="000000"/>
            </w:tcBorders>
            <w:vAlign w:val="center"/>
          </w:tcPr>
          <w:p>
            <w:pPr>
              <w:pStyle w:val="TableContents"/>
              <w:rPr/>
            </w:pPr>
            <w:r>
              <w:rPr/>
              <w:t>Commercial operator can merge units into restaurant/warehouse. This destroys residential character.</w:t>
            </w:r>
          </w:p>
        </w:tc>
      </w:tr>
      <w:tr>
        <w:trPr>
          <w:cantSplit/>
        </w:trPr>
        <w:tc>
          <w:tcPr>
            <w:tcW w:w="481" w:type="dxa"/>
            <w:tcBorders>
              <w:start w:val="single" w:sz="4" w:space="0" w:color="000000"/>
              <w:bottom w:val="single" w:sz="4" w:space="0" w:color="000000"/>
            </w:tcBorders>
            <w:vAlign w:val="center"/>
          </w:tcPr>
          <w:p>
            <w:pPr>
              <w:pStyle w:val="TableContents"/>
              <w:rPr/>
            </w:pPr>
            <w:r>
              <w:rPr/>
              <w:t>36</w:t>
            </w:r>
          </w:p>
        </w:tc>
        <w:tc>
          <w:tcPr>
            <w:tcW w:w="985" w:type="dxa"/>
            <w:tcBorders>
              <w:start w:val="single" w:sz="4" w:space="0" w:color="000000"/>
              <w:bottom w:val="single" w:sz="4" w:space="0" w:color="000000"/>
            </w:tcBorders>
            <w:vAlign w:val="center"/>
          </w:tcPr>
          <w:p>
            <w:pPr>
              <w:pStyle w:val="TableContents"/>
              <w:rPr/>
            </w:pPr>
            <w:r>
              <w:rPr/>
              <w:t>8</w:t>
            </w:r>
          </w:p>
        </w:tc>
        <w:tc>
          <w:tcPr>
            <w:tcW w:w="1597" w:type="dxa"/>
            <w:tcBorders>
              <w:start w:val="single" w:sz="4" w:space="0" w:color="000000"/>
              <w:bottom w:val="single" w:sz="4" w:space="0" w:color="000000"/>
            </w:tcBorders>
            <w:vAlign w:val="center"/>
          </w:tcPr>
          <w:p>
            <w:pPr>
              <w:pStyle w:val="TableContents"/>
              <w:rPr/>
            </w:pPr>
            <w:r>
              <w:rPr/>
              <w:t>Definitional</w:t>
            </w:r>
          </w:p>
        </w:tc>
        <w:tc>
          <w:tcPr>
            <w:tcW w:w="3921" w:type="dxa"/>
            <w:tcBorders>
              <w:start w:val="single" w:sz="4" w:space="0" w:color="000000"/>
              <w:bottom w:val="single" w:sz="4" w:space="0" w:color="000000"/>
            </w:tcBorders>
            <w:vAlign w:val="center"/>
          </w:tcPr>
          <w:p>
            <w:pPr>
              <w:pStyle w:val="TableContents"/>
              <w:rPr/>
            </w:pPr>
            <w:r>
              <w:rPr/>
              <w:t>"distributed or utilised in proportion to the 'private area'" - vague reference.</w:t>
            </w:r>
          </w:p>
        </w:tc>
        <w:tc>
          <w:tcPr>
            <w:tcW w:w="4546" w:type="dxa"/>
            <w:tcBorders>
              <w:start w:val="single" w:sz="4" w:space="0" w:color="000000"/>
              <w:bottom w:val="single" w:sz="4" w:space="0" w:color="000000"/>
            </w:tcBorders>
            <w:vAlign w:val="center"/>
          </w:tcPr>
          <w:p>
            <w:pPr>
              <w:pStyle w:val="TableContents"/>
              <w:rPr/>
            </w:pPr>
            <w:r>
              <w:rPr/>
              <w:t>Should specify "in accordance with section 2(cc)"</w:t>
            </w:r>
          </w:p>
        </w:tc>
        <w:tc>
          <w:tcPr>
            <w:tcW w:w="4402" w:type="dxa"/>
            <w:tcBorders>
              <w:start w:val="single" w:sz="4" w:space="0" w:color="000000"/>
              <w:bottom w:val="single" w:sz="4" w:space="0" w:color="000000"/>
              <w:end w:val="single" w:sz="4" w:space="0" w:color="000000"/>
            </w:tcBorders>
            <w:vAlign w:val="center"/>
          </w:tcPr>
          <w:p>
            <w:pPr>
              <w:pStyle w:val="TableContents"/>
              <w:rPr/>
            </w:pPr>
            <w:r>
              <w:rPr/>
              <w:t>Definition exists but reference should be explicit.</w:t>
            </w:r>
          </w:p>
        </w:tc>
      </w:tr>
      <w:tr>
        <w:trPr>
          <w:cantSplit/>
        </w:trPr>
        <w:tc>
          <w:tcPr>
            <w:tcW w:w="481" w:type="dxa"/>
            <w:tcBorders>
              <w:start w:val="single" w:sz="4" w:space="0" w:color="000000"/>
              <w:bottom w:val="single" w:sz="4" w:space="0" w:color="000000"/>
            </w:tcBorders>
            <w:vAlign w:val="center"/>
          </w:tcPr>
          <w:p>
            <w:pPr>
              <w:pStyle w:val="TableContents"/>
              <w:rPr/>
            </w:pPr>
            <w:r>
              <w:rPr/>
              <w:t>37</w:t>
            </w:r>
          </w:p>
        </w:tc>
        <w:tc>
          <w:tcPr>
            <w:tcW w:w="985" w:type="dxa"/>
            <w:tcBorders>
              <w:start w:val="single" w:sz="4" w:space="0" w:color="000000"/>
              <w:bottom w:val="single" w:sz="4" w:space="0" w:color="000000"/>
            </w:tcBorders>
            <w:vAlign w:val="center"/>
          </w:tcPr>
          <w:p>
            <w:pPr>
              <w:pStyle w:val="TableContents"/>
              <w:rPr/>
            </w:pPr>
            <w:r>
              <w:rPr/>
              <w:t>9</w:t>
            </w:r>
          </w:p>
        </w:tc>
        <w:tc>
          <w:tcPr>
            <w:tcW w:w="1597" w:type="dxa"/>
            <w:tcBorders>
              <w:start w:val="single" w:sz="4" w:space="0" w:color="000000"/>
              <w:bottom w:val="single" w:sz="4" w:space="0" w:color="000000"/>
            </w:tcBorders>
            <w:vAlign w:val="center"/>
          </w:tcPr>
          <w:p>
            <w:pPr>
              <w:pStyle w:val="TableContents"/>
              <w:rPr/>
            </w:pPr>
            <w:r>
              <w:rPr/>
              <w:t>Financial/Governance</w:t>
            </w:r>
          </w:p>
        </w:tc>
        <w:tc>
          <w:tcPr>
            <w:tcW w:w="3921" w:type="dxa"/>
            <w:tcBorders>
              <w:start w:val="single" w:sz="4" w:space="0" w:color="000000"/>
              <w:bottom w:val="single" w:sz="4" w:space="0" w:color="000000"/>
            </w:tcBorders>
            <w:vAlign w:val="center"/>
          </w:tcPr>
          <w:p>
            <w:pPr>
              <w:pStyle w:val="TableContents"/>
              <w:rPr/>
            </w:pPr>
            <w:r>
              <w:rPr/>
              <w:t>"unless otherwise provided in this Act" - vague. Should specifically cite sections that allow exceptions.</w:t>
            </w:r>
          </w:p>
        </w:tc>
        <w:tc>
          <w:tcPr>
            <w:tcW w:w="4546" w:type="dxa"/>
            <w:tcBorders>
              <w:start w:val="single" w:sz="4" w:space="0" w:color="000000"/>
              <w:bottom w:val="single" w:sz="4" w:space="0" w:color="000000"/>
            </w:tcBorders>
            <w:vAlign w:val="center"/>
          </w:tcPr>
          <w:p>
            <w:pPr>
              <w:pStyle w:val="TableContents"/>
              <w:rPr/>
            </w:pPr>
            <w:r>
              <w:rPr/>
              <w:t>Replace with explicit cross-references to sections that provide exceptions.</w:t>
            </w:r>
          </w:p>
        </w:tc>
        <w:tc>
          <w:tcPr>
            <w:tcW w:w="4402" w:type="dxa"/>
            <w:tcBorders>
              <w:start w:val="single" w:sz="4" w:space="0" w:color="000000"/>
              <w:bottom w:val="single" w:sz="4" w:space="0" w:color="000000"/>
              <w:end w:val="single" w:sz="4" w:space="0" w:color="000000"/>
            </w:tcBorders>
            <w:vAlign w:val="center"/>
          </w:tcPr>
          <w:p>
            <w:pPr>
              <w:pStyle w:val="TableContents"/>
              <w:rPr/>
            </w:pPr>
            <w:r>
              <w:rPr/>
              <w:t>Tentative &amp; Vague: The phrase "unless otherwise provided in this Act" is a vague statement. Should specifically cite sections allowing exceptions (e.g., user charges for discretionary facilities).</w:t>
            </w:r>
          </w:p>
        </w:tc>
      </w:tr>
      <w:tr>
        <w:trPr>
          <w:cantSplit/>
        </w:trPr>
        <w:tc>
          <w:tcPr>
            <w:tcW w:w="481" w:type="dxa"/>
            <w:tcBorders>
              <w:start w:val="single" w:sz="4" w:space="0" w:color="000000"/>
              <w:bottom w:val="single" w:sz="4" w:space="0" w:color="000000"/>
            </w:tcBorders>
            <w:vAlign w:val="center"/>
          </w:tcPr>
          <w:p>
            <w:pPr>
              <w:pStyle w:val="TableContents"/>
              <w:rPr/>
            </w:pPr>
            <w:r>
              <w:rPr/>
              <w:t>38</w:t>
            </w:r>
          </w:p>
        </w:tc>
        <w:tc>
          <w:tcPr>
            <w:tcW w:w="985" w:type="dxa"/>
            <w:tcBorders>
              <w:start w:val="single" w:sz="4" w:space="0" w:color="000000"/>
              <w:bottom w:val="single" w:sz="4" w:space="0" w:color="000000"/>
            </w:tcBorders>
            <w:vAlign w:val="center"/>
          </w:tcPr>
          <w:p>
            <w:pPr>
              <w:pStyle w:val="TableContents"/>
              <w:rPr/>
            </w:pPr>
            <w:r>
              <w:rPr/>
              <w:t>9</w:t>
            </w:r>
          </w:p>
        </w:tc>
        <w:tc>
          <w:tcPr>
            <w:tcW w:w="1597" w:type="dxa"/>
            <w:tcBorders>
              <w:start w:val="single" w:sz="4" w:space="0" w:color="000000"/>
              <w:bottom w:val="single" w:sz="4" w:space="0" w:color="000000"/>
            </w:tcBorders>
            <w:vAlign w:val="center"/>
          </w:tcPr>
          <w:p>
            <w:pPr>
              <w:pStyle w:val="TableContents"/>
              <w:rPr/>
            </w:pPr>
            <w:r>
              <w:rPr/>
              <w:t>Financial/Governance</w:t>
            </w:r>
          </w:p>
        </w:tc>
        <w:tc>
          <w:tcPr>
            <w:tcW w:w="3921" w:type="dxa"/>
            <w:tcBorders>
              <w:start w:val="single" w:sz="4" w:space="0" w:color="000000"/>
              <w:bottom w:val="single" w:sz="4" w:space="0" w:color="000000"/>
            </w:tcBorders>
            <w:vAlign w:val="center"/>
          </w:tcPr>
          <w:p>
            <w:pPr>
              <w:pStyle w:val="TableContents"/>
              <w:rPr/>
            </w:pPr>
            <w:r>
              <w:rPr/>
              <w:t>Bye-laws allowed to overrule the Act's expense formula.</w:t>
            </w:r>
          </w:p>
        </w:tc>
        <w:tc>
          <w:tcPr>
            <w:tcW w:w="4546" w:type="dxa"/>
            <w:tcBorders>
              <w:start w:val="single" w:sz="4" w:space="0" w:color="000000"/>
              <w:bottom w:val="single" w:sz="4" w:space="0" w:color="000000"/>
            </w:tcBorders>
            <w:vAlign w:val="center"/>
          </w:tcPr>
          <w:p>
            <w:pPr>
              <w:pStyle w:val="TableContents"/>
              <w:rPr/>
            </w:pPr>
            <w:r>
              <w:rPr/>
              <w:t>Remove the allowance for bye-laws to deviate from the UDI-based expense formula.</w:t>
            </w:r>
          </w:p>
        </w:tc>
        <w:tc>
          <w:tcPr>
            <w:tcW w:w="4402" w:type="dxa"/>
            <w:tcBorders>
              <w:start w:val="single" w:sz="4" w:space="0" w:color="000000"/>
              <w:bottom w:val="single" w:sz="4" w:space="0" w:color="000000"/>
              <w:end w:val="single" w:sz="4" w:space="0" w:color="000000"/>
            </w:tcBorders>
            <w:vAlign w:val="center"/>
          </w:tcPr>
          <w:p>
            <w:pPr>
              <w:pStyle w:val="TableContents"/>
              <w:rPr/>
            </w:pPr>
            <w:r>
              <w:rPr/>
              <w:t>Chaos Potential: Allowing bye-laws to overrule statutory formula means different RWAs can adopt different expense allocation methods. Creates confusion, litigation, and inequality across projects.</w:t>
            </w:r>
          </w:p>
        </w:tc>
      </w:tr>
      <w:tr>
        <w:trPr>
          <w:cantSplit/>
        </w:trPr>
        <w:tc>
          <w:tcPr>
            <w:tcW w:w="481" w:type="dxa"/>
            <w:tcBorders>
              <w:start w:val="single" w:sz="4" w:space="0" w:color="000000"/>
              <w:bottom w:val="single" w:sz="4" w:space="0" w:color="000000"/>
            </w:tcBorders>
            <w:vAlign w:val="center"/>
          </w:tcPr>
          <w:p>
            <w:pPr>
              <w:pStyle w:val="TableContents"/>
              <w:rPr/>
            </w:pPr>
            <w:r>
              <w:rPr/>
              <w:t>39</w:t>
            </w:r>
          </w:p>
        </w:tc>
        <w:tc>
          <w:tcPr>
            <w:tcW w:w="985" w:type="dxa"/>
            <w:tcBorders>
              <w:start w:val="single" w:sz="4" w:space="0" w:color="000000"/>
              <w:bottom w:val="single" w:sz="4" w:space="0" w:color="000000"/>
            </w:tcBorders>
            <w:vAlign w:val="center"/>
          </w:tcPr>
          <w:p>
            <w:pPr>
              <w:pStyle w:val="TableContents"/>
              <w:rPr/>
            </w:pPr>
            <w:r>
              <w:rPr/>
              <w:t>9</w:t>
            </w:r>
          </w:p>
        </w:tc>
        <w:tc>
          <w:tcPr>
            <w:tcW w:w="1597" w:type="dxa"/>
            <w:tcBorders>
              <w:start w:val="single" w:sz="4" w:space="0" w:color="000000"/>
              <w:bottom w:val="single" w:sz="4" w:space="0" w:color="000000"/>
            </w:tcBorders>
            <w:vAlign w:val="center"/>
          </w:tcPr>
          <w:p>
            <w:pPr>
              <w:pStyle w:val="TableContents"/>
              <w:rPr/>
            </w:pPr>
            <w:r>
              <w:rPr/>
              <w:t>Financial/Governance</w:t>
            </w:r>
          </w:p>
        </w:tc>
        <w:tc>
          <w:tcPr>
            <w:tcW w:w="3921" w:type="dxa"/>
            <w:tcBorders>
              <w:start w:val="single" w:sz="4" w:space="0" w:color="000000"/>
              <w:bottom w:val="single" w:sz="4" w:space="0" w:color="000000"/>
            </w:tcBorders>
            <w:vAlign w:val="center"/>
          </w:tcPr>
          <w:p>
            <w:pPr>
              <w:pStyle w:val="TableContents"/>
              <w:rPr/>
            </w:pPr>
            <w:r>
              <w:rPr/>
              <w:t>"association shall not impose unequal or discriminatory charges on apartments having the same private area and use" - this proviso is practically useless and guarantees disputes.</w:t>
            </w:r>
          </w:p>
        </w:tc>
        <w:tc>
          <w:tcPr>
            <w:tcW w:w="4546" w:type="dxa"/>
            <w:tcBorders>
              <w:start w:val="single" w:sz="4" w:space="0" w:color="000000"/>
              <w:bottom w:val="single" w:sz="4" w:space="0" w:color="000000"/>
            </w:tcBorders>
            <w:vAlign w:val="center"/>
          </w:tcPr>
          <w:p>
            <w:pPr>
              <w:pStyle w:val="TableContents"/>
              <w:rPr/>
            </w:pPr>
            <w:r>
              <w:rPr/>
              <w:t>Remove this proviso. It is best to opt for UDI-based burden-sharing, regardless of usage.</w:t>
            </w:r>
          </w:p>
        </w:tc>
        <w:tc>
          <w:tcPr>
            <w:tcW w:w="4402" w:type="dxa"/>
            <w:tcBorders>
              <w:start w:val="single" w:sz="4" w:space="0" w:color="000000"/>
              <w:bottom w:val="single" w:sz="4" w:space="0" w:color="000000"/>
              <w:end w:val="single" w:sz="4" w:space="0" w:color="000000"/>
            </w:tcBorders>
            <w:vAlign w:val="center"/>
          </w:tcPr>
          <w:p>
            <w:pPr>
              <w:pStyle w:val="TableContents"/>
              <w:rPr/>
            </w:pPr>
            <w:r>
              <w:rPr/>
              <w:t>The Fatal "Non-User" Logical Trap: Current text forces all owners to pay for all facilities by UDI regardless of usage. Proviso only protects mathematically identical apartments, which rarely exists. Non-users cannot legally reduce charges. Guarantees perpetual disputes.</w:t>
            </w:r>
          </w:p>
        </w:tc>
      </w:tr>
      <w:tr>
        <w:trPr>
          <w:cantSplit/>
        </w:trPr>
        <w:tc>
          <w:tcPr>
            <w:tcW w:w="481" w:type="dxa"/>
            <w:tcBorders>
              <w:start w:val="single" w:sz="4" w:space="0" w:color="000000"/>
              <w:bottom w:val="single" w:sz="4" w:space="0" w:color="000000"/>
            </w:tcBorders>
            <w:vAlign w:val="center"/>
          </w:tcPr>
          <w:p>
            <w:pPr>
              <w:pStyle w:val="TableContents"/>
              <w:rPr/>
            </w:pPr>
            <w:r>
              <w:rPr/>
              <w:t>40</w:t>
            </w:r>
          </w:p>
        </w:tc>
        <w:tc>
          <w:tcPr>
            <w:tcW w:w="985" w:type="dxa"/>
            <w:tcBorders>
              <w:start w:val="single" w:sz="4" w:space="0" w:color="000000"/>
              <w:bottom w:val="single" w:sz="4" w:space="0" w:color="000000"/>
            </w:tcBorders>
            <w:vAlign w:val="center"/>
          </w:tcPr>
          <w:p>
            <w:pPr>
              <w:pStyle w:val="TableContents"/>
              <w:rPr/>
            </w:pPr>
            <w:r>
              <w:rPr/>
              <w:t>9</w:t>
            </w:r>
          </w:p>
        </w:tc>
        <w:tc>
          <w:tcPr>
            <w:tcW w:w="1597" w:type="dxa"/>
            <w:tcBorders>
              <w:start w:val="single" w:sz="4" w:space="0" w:color="000000"/>
              <w:bottom w:val="single" w:sz="4" w:space="0" w:color="000000"/>
            </w:tcBorders>
            <w:vAlign w:val="center"/>
          </w:tcPr>
          <w:p>
            <w:pPr>
              <w:pStyle w:val="TableContents"/>
              <w:rPr/>
            </w:pPr>
            <w:r>
              <w:rPr/>
              <w:t>Financial/Governance</w:t>
            </w:r>
          </w:p>
        </w:tc>
        <w:tc>
          <w:tcPr>
            <w:tcW w:w="3921" w:type="dxa"/>
            <w:tcBorders>
              <w:start w:val="single" w:sz="4" w:space="0" w:color="000000"/>
              <w:bottom w:val="single" w:sz="4" w:space="0" w:color="000000"/>
            </w:tcBorders>
            <w:vAlign w:val="center"/>
          </w:tcPr>
          <w:p>
            <w:pPr>
              <w:pStyle w:val="TableContents"/>
              <w:rPr/>
            </w:pPr>
            <w:r>
              <w:rPr/>
              <w:t>Allows unequal maintenance charges for same private area based on "variation in usage" without objective criteria.</w:t>
            </w:r>
          </w:p>
        </w:tc>
        <w:tc>
          <w:tcPr>
            <w:tcW w:w="4546" w:type="dxa"/>
            <w:tcBorders>
              <w:start w:val="single" w:sz="4" w:space="0" w:color="000000"/>
              <w:bottom w:val="single" w:sz="4" w:space="0" w:color="000000"/>
            </w:tcBorders>
            <w:vAlign w:val="center"/>
          </w:tcPr>
          <w:p>
            <w:pPr>
              <w:pStyle w:val="TableContents"/>
              <w:rPr/>
            </w:pPr>
            <w:r>
              <w:rPr/>
              <w:t>Insert: "Provided further that no variation in charges shall be permitted unless the service or facility usage is separately metered or objectively measurable, and such variation is approved by a resolution of the general body. The Competent Authority shall adjudicate disputes arising from such variation."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Floodgates of Litigation: Every non-user of gym/pool will appeal to CA. Without statutory bar on discrimination or objective metering test, CA is flooded with subjective disputes lacking clear statutory formula for resolution.</w:t>
            </w:r>
          </w:p>
        </w:tc>
      </w:tr>
      <w:tr>
        <w:trPr>
          <w:cantSplit/>
        </w:trPr>
        <w:tc>
          <w:tcPr>
            <w:tcW w:w="481" w:type="dxa"/>
            <w:tcBorders>
              <w:start w:val="single" w:sz="4" w:space="0" w:color="000000"/>
              <w:bottom w:val="single" w:sz="4" w:space="0" w:color="000000"/>
            </w:tcBorders>
            <w:vAlign w:val="center"/>
          </w:tcPr>
          <w:p>
            <w:pPr>
              <w:pStyle w:val="TableContents"/>
              <w:rPr/>
            </w:pPr>
            <w:r>
              <w:rPr/>
              <w:t>41</w:t>
            </w:r>
          </w:p>
        </w:tc>
        <w:tc>
          <w:tcPr>
            <w:tcW w:w="985" w:type="dxa"/>
            <w:tcBorders>
              <w:start w:val="single" w:sz="4" w:space="0" w:color="000000"/>
              <w:bottom w:val="single" w:sz="4" w:space="0" w:color="000000"/>
            </w:tcBorders>
            <w:vAlign w:val="center"/>
          </w:tcPr>
          <w:p>
            <w:pPr>
              <w:pStyle w:val="TableContents"/>
              <w:rPr/>
            </w:pPr>
            <w:r>
              <w:rPr/>
              <w:t>10(2)</w:t>
            </w:r>
          </w:p>
        </w:tc>
        <w:tc>
          <w:tcPr>
            <w:tcW w:w="1597" w:type="dxa"/>
            <w:tcBorders>
              <w:start w:val="single" w:sz="4" w:space="0" w:color="000000"/>
              <w:bottom w:val="single" w:sz="4" w:space="0" w:color="000000"/>
            </w:tcBorders>
            <w:vAlign w:val="center"/>
          </w:tcPr>
          <w:p>
            <w:pPr>
              <w:pStyle w:val="TableContents"/>
              <w:rPr/>
            </w:pPr>
            <w:r>
              <w:rPr/>
              <w:t>Constitutional</w:t>
            </w:r>
          </w:p>
        </w:tc>
        <w:tc>
          <w:tcPr>
            <w:tcW w:w="3921" w:type="dxa"/>
            <w:tcBorders>
              <w:start w:val="single" w:sz="4" w:space="0" w:color="000000"/>
              <w:bottom w:val="single" w:sz="4" w:space="0" w:color="000000"/>
            </w:tcBorders>
            <w:vAlign w:val="center"/>
          </w:tcPr>
          <w:p>
            <w:pPr>
              <w:pStyle w:val="TableContents"/>
              <w:rPr/>
            </w:pPr>
            <w:r>
              <w:rPr/>
              <w:t>Repugnancy with Central RERA Act, 2016. Mandates transfer of management only upon formation of association, contradicting RERA Sec. 17(1) which mandates transfer within 3 months of OC unconditionally.</w:t>
            </w:r>
          </w:p>
        </w:tc>
        <w:tc>
          <w:tcPr>
            <w:tcW w:w="4546" w:type="dxa"/>
            <w:tcBorders>
              <w:start w:val="single" w:sz="4" w:space="0" w:color="000000"/>
              <w:bottom w:val="single" w:sz="4" w:space="0" w:color="000000"/>
            </w:tcBorders>
            <w:vAlign w:val="center"/>
          </w:tcPr>
          <w:p>
            <w:pPr>
              <w:pStyle w:val="TableContents"/>
              <w:rPr/>
            </w:pPr>
            <w:r>
              <w:rPr/>
              <w:t>Omit sub-section (2) and substitute: "The promoter shall, within three months from the date of issuance of the Occupancy Certificate, execute a deed transferring the management, maintenance and administration of the common areas and facilities to the association, irrespective of whether all apartments have been conveyed. This transfer shall be conditional upon the association's registration under Section 22."</w:t>
            </w:r>
          </w:p>
        </w:tc>
        <w:tc>
          <w:tcPr>
            <w:tcW w:w="4402" w:type="dxa"/>
            <w:tcBorders>
              <w:start w:val="single" w:sz="4" w:space="0" w:color="000000"/>
              <w:bottom w:val="single" w:sz="4" w:space="0" w:color="000000"/>
              <w:end w:val="single" w:sz="4" w:space="0" w:color="000000"/>
            </w:tcBorders>
            <w:vAlign w:val="center"/>
          </w:tcPr>
          <w:p>
            <w:pPr>
              <w:pStyle w:val="TableContents"/>
              <w:rPr/>
            </w:pPr>
            <w:r>
              <w:rPr/>
              <w:t>Constitutional Invalidity: Without Presidential assent under Art. 254(2), Sec. 10(2) is void ab initio. CA cannot enforce penalties under Sec. 54 for non-compliance that stems from unconstitutional provision.</w:t>
            </w:r>
          </w:p>
        </w:tc>
      </w:tr>
      <w:tr>
        <w:trPr>
          <w:cantSplit/>
        </w:trPr>
        <w:tc>
          <w:tcPr>
            <w:tcW w:w="481" w:type="dxa"/>
            <w:tcBorders>
              <w:start w:val="single" w:sz="4" w:space="0" w:color="000000"/>
              <w:bottom w:val="single" w:sz="4" w:space="0" w:color="000000"/>
            </w:tcBorders>
            <w:vAlign w:val="center"/>
          </w:tcPr>
          <w:p>
            <w:pPr>
              <w:pStyle w:val="TableContents"/>
              <w:rPr/>
            </w:pPr>
            <w:r>
              <w:rPr/>
              <w:t>42</w:t>
            </w:r>
          </w:p>
        </w:tc>
        <w:tc>
          <w:tcPr>
            <w:tcW w:w="985" w:type="dxa"/>
            <w:tcBorders>
              <w:start w:val="single" w:sz="4" w:space="0" w:color="000000"/>
              <w:bottom w:val="single" w:sz="4" w:space="0" w:color="000000"/>
            </w:tcBorders>
            <w:vAlign w:val="center"/>
          </w:tcPr>
          <w:p>
            <w:pPr>
              <w:pStyle w:val="TableContents"/>
              <w:rPr/>
            </w:pPr>
            <w:r>
              <w:rPr/>
              <w:t>10(2)</w:t>
            </w:r>
          </w:p>
        </w:tc>
        <w:tc>
          <w:tcPr>
            <w:tcW w:w="1597" w:type="dxa"/>
            <w:tcBorders>
              <w:start w:val="single" w:sz="4" w:space="0" w:color="000000"/>
              <w:bottom w:val="single" w:sz="4" w:space="0" w:color="000000"/>
            </w:tcBorders>
            <w:vAlign w:val="center"/>
          </w:tcPr>
          <w:p>
            <w:pPr>
              <w:pStyle w:val="TableContents"/>
              <w:rPr/>
            </w:pPr>
            <w:r>
              <w:rPr/>
              <w:t>Constitutional/RERA</w:t>
            </w:r>
          </w:p>
        </w:tc>
        <w:tc>
          <w:tcPr>
            <w:tcW w:w="3921" w:type="dxa"/>
            <w:tcBorders>
              <w:start w:val="single" w:sz="4" w:space="0" w:color="000000"/>
              <w:bottom w:val="single" w:sz="4" w:space="0" w:color="000000"/>
            </w:tcBorders>
            <w:vAlign w:val="center"/>
          </w:tcPr>
          <w:p>
            <w:pPr>
              <w:pStyle w:val="TableContents"/>
              <w:rPr/>
            </w:pPr>
            <w:r>
              <w:rPr/>
              <w:t>Provisions on formation of association and deed of transfer conflict with RERA#17(1). Under Article 254(2), this requires President's assent. Without it, these provisions are void.</w:t>
            </w:r>
          </w:p>
        </w:tc>
        <w:tc>
          <w:tcPr>
            <w:tcW w:w="4546" w:type="dxa"/>
            <w:tcBorders>
              <w:start w:val="single" w:sz="4" w:space="0" w:color="000000"/>
              <w:bottom w:val="single" w:sz="4" w:space="0" w:color="000000"/>
            </w:tcBorders>
            <w:vAlign w:val="center"/>
          </w:tcPr>
          <w:p>
            <w:pPr>
              <w:pStyle w:val="TableContents"/>
              <w:rPr/>
            </w:pPr>
            <w:r>
              <w:rPr/>
              <w:t>Ensure conformity with RERA#17(1). Actually better way is to get RERA#17(1) amended, because conveying common areas to association violates multiple laws including Benami Act, and makes it impossible to draw loans on UDI portion.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Repugnancy to RERA: Conveying common areas to Association violates multiple laws including Benami Act, and makes it impossible to draw loans on UDI portion.</w:t>
            </w:r>
          </w:p>
        </w:tc>
      </w:tr>
      <w:tr>
        <w:trPr>
          <w:cantSplit/>
        </w:trPr>
        <w:tc>
          <w:tcPr>
            <w:tcW w:w="481" w:type="dxa"/>
            <w:tcBorders>
              <w:start w:val="single" w:sz="4" w:space="0" w:color="000000"/>
              <w:bottom w:val="single" w:sz="4" w:space="0" w:color="000000"/>
            </w:tcBorders>
            <w:vAlign w:val="center"/>
          </w:tcPr>
          <w:p>
            <w:pPr>
              <w:pStyle w:val="TableContents"/>
              <w:rPr/>
            </w:pPr>
            <w:r>
              <w:rPr/>
              <w:t>43</w:t>
            </w:r>
          </w:p>
        </w:tc>
        <w:tc>
          <w:tcPr>
            <w:tcW w:w="985" w:type="dxa"/>
            <w:tcBorders>
              <w:start w:val="single" w:sz="4" w:space="0" w:color="000000"/>
              <w:bottom w:val="single" w:sz="4" w:space="0" w:color="000000"/>
            </w:tcBorders>
            <w:vAlign w:val="center"/>
          </w:tcPr>
          <w:p>
            <w:pPr>
              <w:pStyle w:val="TableContents"/>
              <w:rPr/>
            </w:pPr>
            <w:r>
              <w:rPr/>
              <w:t>10(3)</w:t>
            </w:r>
          </w:p>
        </w:tc>
        <w:tc>
          <w:tcPr>
            <w:tcW w:w="1597" w:type="dxa"/>
            <w:tcBorders>
              <w:start w:val="single" w:sz="4" w:space="0" w:color="000000"/>
              <w:bottom w:val="single" w:sz="4" w:space="0" w:color="000000"/>
            </w:tcBorders>
            <w:vAlign w:val="center"/>
          </w:tcPr>
          <w:p>
            <w:pPr>
              <w:pStyle w:val="TableContents"/>
              <w:rPr/>
            </w:pPr>
            <w:r>
              <w:rPr/>
              <w:t>Constitutional/RERA</w:t>
            </w:r>
          </w:p>
        </w:tc>
        <w:tc>
          <w:tcPr>
            <w:tcW w:w="3921" w:type="dxa"/>
            <w:tcBorders>
              <w:start w:val="single" w:sz="4" w:space="0" w:color="000000"/>
              <w:bottom w:val="single" w:sz="4" w:space="0" w:color="000000"/>
            </w:tcBorders>
            <w:vAlign w:val="center"/>
          </w:tcPr>
          <w:p>
            <w:pPr>
              <w:pStyle w:val="TableContents"/>
              <w:rPr/>
            </w:pPr>
            <w:r>
              <w:rPr/>
              <w:t>RERA defines "land" as part of common areas. KAOMA conflicts.</w:t>
            </w:r>
          </w:p>
        </w:tc>
        <w:tc>
          <w:tcPr>
            <w:tcW w:w="4546" w:type="dxa"/>
            <w:tcBorders>
              <w:start w:val="single" w:sz="4" w:space="0" w:color="000000"/>
              <w:bottom w:val="single" w:sz="4" w:space="0" w:color="000000"/>
            </w:tcBorders>
            <w:vAlign w:val="center"/>
          </w:tcPr>
          <w:p>
            <w:pPr>
              <w:pStyle w:val="TableContents"/>
              <w:rPr/>
            </w:pPr>
            <w:r>
              <w:rPr/>
              <w:t>Explicitly include land in definition of common areas.</w:t>
            </w:r>
          </w:p>
        </w:tc>
        <w:tc>
          <w:tcPr>
            <w:tcW w:w="4402" w:type="dxa"/>
            <w:tcBorders>
              <w:start w:val="single" w:sz="4" w:space="0" w:color="000000"/>
              <w:bottom w:val="single" w:sz="4" w:space="0" w:color="000000"/>
              <w:end w:val="single" w:sz="4" w:space="0" w:color="000000"/>
            </w:tcBorders>
            <w:vAlign w:val="center"/>
          </w:tcPr>
          <w:p>
            <w:pPr>
              <w:pStyle w:val="TableContents"/>
              <w:rPr/>
            </w:pPr>
            <w:r>
              <w:rPr/>
              <w:t>RERA Alignment: RERA defines "land" as part of common areas. KAOMA must align.</w:t>
            </w:r>
          </w:p>
        </w:tc>
      </w:tr>
      <w:tr>
        <w:trPr>
          <w:cantSplit/>
        </w:trPr>
        <w:tc>
          <w:tcPr>
            <w:tcW w:w="481" w:type="dxa"/>
            <w:tcBorders>
              <w:start w:val="single" w:sz="4" w:space="0" w:color="000000"/>
              <w:bottom w:val="single" w:sz="4" w:space="0" w:color="000000"/>
            </w:tcBorders>
            <w:vAlign w:val="center"/>
          </w:tcPr>
          <w:p>
            <w:pPr>
              <w:pStyle w:val="TableContents"/>
              <w:rPr/>
            </w:pPr>
            <w:r>
              <w:rPr/>
              <w:t>44</w:t>
            </w:r>
          </w:p>
        </w:tc>
        <w:tc>
          <w:tcPr>
            <w:tcW w:w="985" w:type="dxa"/>
            <w:tcBorders>
              <w:start w:val="single" w:sz="4" w:space="0" w:color="000000"/>
              <w:bottom w:val="single" w:sz="4" w:space="0" w:color="000000"/>
            </w:tcBorders>
            <w:vAlign w:val="center"/>
          </w:tcPr>
          <w:p>
            <w:pPr>
              <w:pStyle w:val="TableContents"/>
              <w:rPr/>
            </w:pPr>
            <w:r>
              <w:rPr/>
              <w:t>10(5)</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"The registering officer shall...forward a certified copy thereof to the competent authority" - What if this is lost in transit? How are they indexed? How is a missing document found?</w:t>
            </w:r>
          </w:p>
        </w:tc>
        <w:tc>
          <w:tcPr>
            <w:tcW w:w="4546" w:type="dxa"/>
            <w:tcBorders>
              <w:start w:val="single" w:sz="4" w:space="0" w:color="000000"/>
              <w:bottom w:val="single" w:sz="4" w:space="0" w:color="000000"/>
            </w:tcBorders>
            <w:vAlign w:val="center"/>
          </w:tcPr>
          <w:p>
            <w:pPr>
              <w:pStyle w:val="TableContents"/>
              <w:rPr/>
            </w:pPr>
            <w:r>
              <w:rPr/>
              <w:t>Add provision for digital transmission and acknowledgement; mandate indexing at both ends.</w:t>
            </w:r>
          </w:p>
        </w:tc>
        <w:tc>
          <w:tcPr>
            <w:tcW w:w="4402" w:type="dxa"/>
            <w:tcBorders>
              <w:start w:val="single" w:sz="4" w:space="0" w:color="000000"/>
              <w:bottom w:val="single" w:sz="4" w:space="0" w:color="000000"/>
              <w:end w:val="single" w:sz="4" w:space="0" w:color="000000"/>
            </w:tcBorders>
            <w:vAlign w:val="center"/>
          </w:tcPr>
          <w:p>
            <w:pPr>
              <w:pStyle w:val="TableContents"/>
              <w:rPr/>
            </w:pPr>
            <w:r>
              <w:rPr/>
              <w:t>Without mandatory digital transmission and indexing, documents can be lost. Creates title defects.</w:t>
            </w:r>
          </w:p>
        </w:tc>
      </w:tr>
      <w:tr>
        <w:trPr>
          <w:cantSplit/>
        </w:trPr>
        <w:tc>
          <w:tcPr>
            <w:tcW w:w="481" w:type="dxa"/>
            <w:tcBorders>
              <w:start w:val="single" w:sz="4" w:space="0" w:color="000000"/>
              <w:bottom w:val="single" w:sz="4" w:space="0" w:color="000000"/>
            </w:tcBorders>
            <w:vAlign w:val="center"/>
          </w:tcPr>
          <w:p>
            <w:pPr>
              <w:pStyle w:val="TableContents"/>
              <w:rPr/>
            </w:pPr>
            <w:r>
              <w:rPr/>
              <w:t>45</w:t>
            </w:r>
          </w:p>
        </w:tc>
        <w:tc>
          <w:tcPr>
            <w:tcW w:w="985" w:type="dxa"/>
            <w:tcBorders>
              <w:start w:val="single" w:sz="4" w:space="0" w:color="000000"/>
              <w:bottom w:val="single" w:sz="4" w:space="0" w:color="000000"/>
            </w:tcBorders>
            <w:vAlign w:val="center"/>
          </w:tcPr>
          <w:p>
            <w:pPr>
              <w:pStyle w:val="TableContents"/>
              <w:rPr/>
            </w:pPr>
            <w:r>
              <w:rPr/>
              <w:t>11(3)</w:t>
            </w:r>
          </w:p>
        </w:tc>
        <w:tc>
          <w:tcPr>
            <w:tcW w:w="1597" w:type="dxa"/>
            <w:tcBorders>
              <w:start w:val="single" w:sz="4" w:space="0" w:color="000000"/>
              <w:bottom w:val="single" w:sz="4" w:space="0" w:color="000000"/>
            </w:tcBorders>
            <w:vAlign w:val="center"/>
          </w:tcPr>
          <w:p>
            <w:pPr>
              <w:pStyle w:val="TableContents"/>
              <w:rPr/>
            </w:pPr>
            <w:r>
              <w:rPr/>
              <w:t>UDI</w:t>
            </w:r>
          </w:p>
        </w:tc>
        <w:tc>
          <w:tcPr>
            <w:tcW w:w="3921" w:type="dxa"/>
            <w:tcBorders>
              <w:start w:val="single" w:sz="4" w:space="0" w:color="000000"/>
              <w:bottom w:val="single" w:sz="4" w:space="0" w:color="000000"/>
            </w:tcBorders>
            <w:vAlign w:val="center"/>
          </w:tcPr>
          <w:p>
            <w:pPr>
              <w:pStyle w:val="TableContents"/>
              <w:rPr/>
            </w:pPr>
            <w:r>
              <w:rPr/>
              <w:t>UDI cannot be altered without consent of all owners - but how is this enforced? No mechanism.</w:t>
            </w:r>
          </w:p>
        </w:tc>
        <w:tc>
          <w:tcPr>
            <w:tcW w:w="4546" w:type="dxa"/>
            <w:tcBorders>
              <w:start w:val="single" w:sz="4" w:space="0" w:color="000000"/>
              <w:bottom w:val="single" w:sz="4" w:space="0" w:color="000000"/>
            </w:tcBorders>
            <w:vAlign w:val="center"/>
          </w:tcPr>
          <w:p>
            <w:pPr>
              <w:pStyle w:val="TableContents"/>
              <w:rPr/>
            </w:pPr>
            <w:r>
              <w:rPr/>
              <w:t>Add enforcement mechanism: Any amendment affecting UDI must be accompanied by proof of consent; system must reject amendments without consent proof.</w:t>
            </w:r>
          </w:p>
        </w:tc>
        <w:tc>
          <w:tcPr>
            <w:tcW w:w="4402" w:type="dxa"/>
            <w:tcBorders>
              <w:start w:val="single" w:sz="4" w:space="0" w:color="000000"/>
              <w:bottom w:val="single" w:sz="4" w:space="0" w:color="000000"/>
              <w:end w:val="single" w:sz="4" w:space="0" w:color="000000"/>
            </w:tcBorders>
            <w:vAlign w:val="center"/>
          </w:tcPr>
          <w:p>
            <w:pPr>
              <w:pStyle w:val="TableContents"/>
              <w:rPr/>
            </w:pPr>
            <w:r>
              <w:rPr/>
              <w:t>Consent verification gap. Builders routinely file amendments without obtaining consent. No systemic check.</w:t>
            </w:r>
          </w:p>
        </w:tc>
      </w:tr>
      <w:tr>
        <w:trPr>
          <w:cantSplit/>
        </w:trPr>
        <w:tc>
          <w:tcPr>
            <w:tcW w:w="481" w:type="dxa"/>
            <w:tcBorders>
              <w:start w:val="single" w:sz="4" w:space="0" w:color="000000"/>
              <w:bottom w:val="single" w:sz="4" w:space="0" w:color="000000"/>
            </w:tcBorders>
            <w:vAlign w:val="center"/>
          </w:tcPr>
          <w:p>
            <w:pPr>
              <w:pStyle w:val="TableContents"/>
              <w:rPr/>
            </w:pPr>
            <w:r>
              <w:rPr/>
              <w:t>46</w:t>
            </w:r>
          </w:p>
        </w:tc>
        <w:tc>
          <w:tcPr>
            <w:tcW w:w="985" w:type="dxa"/>
            <w:tcBorders>
              <w:start w:val="single" w:sz="4" w:space="0" w:color="000000"/>
              <w:bottom w:val="single" w:sz="4" w:space="0" w:color="000000"/>
            </w:tcBorders>
            <w:vAlign w:val="center"/>
          </w:tcPr>
          <w:p>
            <w:pPr>
              <w:pStyle w:val="TableContents"/>
              <w:rPr/>
            </w:pPr>
            <w:r>
              <w:rPr/>
              <w:t>11(10)</w:t>
            </w:r>
          </w:p>
        </w:tc>
        <w:tc>
          <w:tcPr>
            <w:tcW w:w="1597" w:type="dxa"/>
            <w:tcBorders>
              <w:start w:val="single" w:sz="4" w:space="0" w:color="000000"/>
              <w:bottom w:val="single" w:sz="4" w:space="0" w:color="000000"/>
            </w:tcBorders>
            <w:vAlign w:val="center"/>
          </w:tcPr>
          <w:p>
            <w:pPr>
              <w:pStyle w:val="TableContents"/>
              <w:rPr/>
            </w:pPr>
            <w:r>
              <w:rPr/>
              <w:t>Legal</w:t>
            </w:r>
          </w:p>
        </w:tc>
        <w:tc>
          <w:tcPr>
            <w:tcW w:w="3921" w:type="dxa"/>
            <w:tcBorders>
              <w:start w:val="single" w:sz="4" w:space="0" w:color="000000"/>
              <w:bottom w:val="single" w:sz="4" w:space="0" w:color="000000"/>
            </w:tcBorders>
            <w:vAlign w:val="center"/>
          </w:tcPr>
          <w:p>
            <w:pPr>
              <w:pStyle w:val="TableContents"/>
              <w:rPr/>
            </w:pPr>
            <w:r>
              <w:rPr/>
              <w:t>Association has right to access apartment - but "after due notice" is vague.</w:t>
            </w:r>
          </w:p>
        </w:tc>
        <w:tc>
          <w:tcPr>
            <w:tcW w:w="4546" w:type="dxa"/>
            <w:tcBorders>
              <w:start w:val="single" w:sz="4" w:space="0" w:color="000000"/>
              <w:bottom w:val="single" w:sz="4" w:space="0" w:color="000000"/>
            </w:tcBorders>
            <w:vAlign w:val="center"/>
          </w:tcPr>
          <w:p>
            <w:pPr>
              <w:pStyle w:val="TableContents"/>
              <w:rPr/>
            </w:pPr>
            <w:r>
              <w:rPr/>
              <w:t>"after giving not less than 48 hours' notice"</w:t>
            </w:r>
          </w:p>
        </w:tc>
        <w:tc>
          <w:tcPr>
            <w:tcW w:w="4402" w:type="dxa"/>
            <w:tcBorders>
              <w:start w:val="single" w:sz="4" w:space="0" w:color="000000"/>
              <w:bottom w:val="single" w:sz="4" w:space="0" w:color="000000"/>
              <w:end w:val="single" w:sz="4" w:space="0" w:color="000000"/>
            </w:tcBorders>
            <w:vAlign w:val="center"/>
          </w:tcPr>
          <w:p>
            <w:pPr>
              <w:pStyle w:val="TableContents"/>
              <w:rPr/>
            </w:pPr>
            <w:r>
              <w:rPr/>
              <w:t>"Due" is not defined; needs specificity.</w:t>
            </w:r>
          </w:p>
        </w:tc>
      </w:tr>
      <w:tr>
        <w:trPr>
          <w:cantSplit/>
        </w:trPr>
        <w:tc>
          <w:tcPr>
            <w:tcW w:w="481" w:type="dxa"/>
            <w:tcBorders>
              <w:start w:val="single" w:sz="4" w:space="0" w:color="000000"/>
              <w:bottom w:val="single" w:sz="4" w:space="0" w:color="000000"/>
            </w:tcBorders>
            <w:vAlign w:val="center"/>
          </w:tcPr>
          <w:p>
            <w:pPr>
              <w:pStyle w:val="TableContents"/>
              <w:rPr/>
            </w:pPr>
            <w:r>
              <w:rPr/>
              <w:t>47</w:t>
            </w:r>
          </w:p>
        </w:tc>
        <w:tc>
          <w:tcPr>
            <w:tcW w:w="985" w:type="dxa"/>
            <w:tcBorders>
              <w:start w:val="single" w:sz="4" w:space="0" w:color="000000"/>
              <w:bottom w:val="single" w:sz="4" w:space="0" w:color="000000"/>
            </w:tcBorders>
            <w:vAlign w:val="center"/>
          </w:tcPr>
          <w:p>
            <w:pPr>
              <w:pStyle w:val="TableContents"/>
              <w:rPr/>
            </w:pPr>
            <w:r>
              <w:rPr/>
              <w:t>12(4)</w:t>
            </w:r>
          </w:p>
        </w:tc>
        <w:tc>
          <w:tcPr>
            <w:tcW w:w="1597" w:type="dxa"/>
            <w:tcBorders>
              <w:start w:val="single" w:sz="4" w:space="0" w:color="000000"/>
              <w:bottom w:val="single" w:sz="4" w:space="0" w:color="000000"/>
            </w:tcBorders>
            <w:vAlign w:val="center"/>
          </w:tcPr>
          <w:p>
            <w:pPr>
              <w:pStyle w:val="TableContents"/>
              <w:rPr/>
            </w:pPr>
            <w:r>
              <w:rPr/>
              <w:t>Commercial/Quality of Life</w:t>
            </w:r>
          </w:p>
        </w:tc>
        <w:tc>
          <w:tcPr>
            <w:tcW w:w="3921" w:type="dxa"/>
            <w:tcBorders>
              <w:start w:val="single" w:sz="4" w:space="0" w:color="000000"/>
              <w:bottom w:val="single" w:sz="4" w:space="0" w:color="000000"/>
            </w:tcBorders>
            <w:vAlign w:val="center"/>
          </w:tcPr>
          <w:p>
            <w:pPr>
              <w:pStyle w:val="TableContents"/>
              <w:rPr/>
            </w:pPr>
            <w:r>
              <w:rPr/>
              <w:t>Allows outsiders to access community facilities with 2/3 of owners present (effectively ~16-17% of total owners).</w:t>
            </w:r>
          </w:p>
        </w:tc>
        <w:tc>
          <w:tcPr>
            <w:tcW w:w="4546" w:type="dxa"/>
            <w:tcBorders>
              <w:start w:val="single" w:sz="4" w:space="0" w:color="000000"/>
              <w:bottom w:val="single" w:sz="4" w:space="0" w:color="000000"/>
            </w:tcBorders>
            <w:vAlign w:val="center"/>
          </w:tcPr>
          <w:p>
            <w:pPr>
              <w:pStyle w:val="TableContents"/>
              <w:rPr/>
            </w:pPr>
            <w:r>
              <w:rPr/>
              <w:t>Require super-majority (75%) of all owners, not just those present and voting, before community facilities can be opened to outsiders.</w:t>
            </w:r>
          </w:p>
        </w:tc>
        <w:tc>
          <w:tcPr>
            <w:tcW w:w="4402" w:type="dxa"/>
            <w:tcBorders>
              <w:start w:val="single" w:sz="4" w:space="0" w:color="000000"/>
              <w:bottom w:val="single" w:sz="4" w:space="0" w:color="000000"/>
              <w:end w:val="single" w:sz="4" w:space="0" w:color="000000"/>
            </w:tcBorders>
            <w:vAlign w:val="center"/>
          </w:tcPr>
          <w:p>
            <w:pPr>
              <w:pStyle w:val="TableContents"/>
              <w:rPr/>
            </w:pPr>
            <w:r>
              <w:rPr/>
              <w:t>Backdoor Commercialization: With 50% quorum, effectively allows 1/3 of owners present (i.e., ~16-17% of total owners) to open clubhouse, swimming pool, gym to general public on commercial basis.</w:t>
            </w:r>
          </w:p>
        </w:tc>
      </w:tr>
      <w:tr>
        <w:trPr>
          <w:cantSplit/>
        </w:trPr>
        <w:tc>
          <w:tcPr>
            <w:tcW w:w="481" w:type="dxa"/>
            <w:tcBorders>
              <w:start w:val="single" w:sz="4" w:space="0" w:color="000000"/>
              <w:bottom w:val="single" w:sz="4" w:space="0" w:color="000000"/>
            </w:tcBorders>
            <w:vAlign w:val="center"/>
          </w:tcPr>
          <w:p>
            <w:pPr>
              <w:pStyle w:val="TableContents"/>
              <w:rPr/>
            </w:pPr>
            <w:r>
              <w:rPr/>
              <w:t>48</w:t>
            </w:r>
          </w:p>
        </w:tc>
        <w:tc>
          <w:tcPr>
            <w:tcW w:w="985" w:type="dxa"/>
            <w:tcBorders>
              <w:start w:val="single" w:sz="4" w:space="0" w:color="000000"/>
              <w:bottom w:val="single" w:sz="4" w:space="0" w:color="000000"/>
            </w:tcBorders>
            <w:vAlign w:val="center"/>
          </w:tcPr>
          <w:p>
            <w:pPr>
              <w:pStyle w:val="TableContents"/>
              <w:rPr/>
            </w:pPr>
            <w:r>
              <w:rPr/>
              <w:t>13</w:t>
            </w:r>
          </w:p>
        </w:tc>
        <w:tc>
          <w:tcPr>
            <w:tcW w:w="1597" w:type="dxa"/>
            <w:tcBorders>
              <w:start w:val="single" w:sz="4" w:space="0" w:color="000000"/>
              <w:bottom w:val="single" w:sz="4" w:space="0" w:color="000000"/>
            </w:tcBorders>
            <w:vAlign w:val="center"/>
          </w:tcPr>
          <w:p>
            <w:pPr>
              <w:pStyle w:val="TableContents"/>
              <w:rPr/>
            </w:pPr>
            <w:r>
              <w:rPr/>
              <w:t>Procedural/Timing</w:t>
            </w:r>
          </w:p>
        </w:tc>
        <w:tc>
          <w:tcPr>
            <w:tcW w:w="3921" w:type="dxa"/>
            <w:tcBorders>
              <w:start w:val="single" w:sz="4" w:space="0" w:color="000000"/>
              <w:bottom w:val="single" w:sz="4" w:space="0" w:color="000000"/>
            </w:tcBorders>
            <w:vAlign w:val="center"/>
          </w:tcPr>
          <w:p>
            <w:pPr>
              <w:pStyle w:val="TableContents"/>
              <w:rPr/>
            </w:pPr>
            <w:r>
              <w:rPr/>
              <w:t>Declaration required within 60 days from date of issue of Occupancy Certificate. Too late! Bookings, construction, possession all happen before project configuration is legally frozen.</w:t>
            </w:r>
          </w:p>
        </w:tc>
        <w:tc>
          <w:tcPr>
            <w:tcW w:w="4546" w:type="dxa"/>
            <w:tcBorders>
              <w:start w:val="single" w:sz="4" w:space="0" w:color="000000"/>
              <w:bottom w:val="single" w:sz="4" w:space="0" w:color="000000"/>
            </w:tcBorders>
            <w:vAlign w:val="center"/>
          </w:tcPr>
          <w:p>
            <w:pPr>
              <w:pStyle w:val="TableContents"/>
              <w:rPr/>
            </w:pPr>
            <w:r>
              <w:rPr/>
              <w:t>Change to: "60 days from the date on which 50% of apartments have been allotted" (or equivalent earlier trigger). Or require DoD before first booking/RERA registration.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Too Late for New Projects: OC is issued at the very end of the project. DoD defines property and contains table of all apartments and LCAs. Its purpose is to freeze configuration before bookings. Allows two common frauds: (a) addition of customers; (b) change of LCAs.</w:t>
            </w:r>
          </w:p>
        </w:tc>
      </w:tr>
      <w:tr>
        <w:trPr>
          <w:cantSplit/>
        </w:trPr>
        <w:tc>
          <w:tcPr>
            <w:tcW w:w="481" w:type="dxa"/>
            <w:tcBorders>
              <w:start w:val="single" w:sz="4" w:space="0" w:color="000000"/>
              <w:bottom w:val="single" w:sz="4" w:space="0" w:color="000000"/>
            </w:tcBorders>
            <w:vAlign w:val="center"/>
          </w:tcPr>
          <w:p>
            <w:pPr>
              <w:pStyle w:val="TableContents"/>
              <w:rPr/>
            </w:pPr>
            <w:r>
              <w:rPr/>
              <w:t>49</w:t>
            </w:r>
          </w:p>
        </w:tc>
        <w:tc>
          <w:tcPr>
            <w:tcW w:w="985" w:type="dxa"/>
            <w:tcBorders>
              <w:start w:val="single" w:sz="4" w:space="0" w:color="000000"/>
              <w:bottom w:val="single" w:sz="4" w:space="0" w:color="000000"/>
            </w:tcBorders>
            <w:vAlign w:val="center"/>
          </w:tcPr>
          <w:p>
            <w:pPr>
              <w:pStyle w:val="TableContents"/>
              <w:rPr/>
            </w:pPr>
            <w:r>
              <w:rPr/>
              <w:t>13</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Migration of old projects clubbed with new projects under same 60-day timeline.</w:t>
            </w:r>
          </w:p>
        </w:tc>
        <w:tc>
          <w:tcPr>
            <w:tcW w:w="4546" w:type="dxa"/>
            <w:tcBorders>
              <w:start w:val="single" w:sz="4" w:space="0" w:color="000000"/>
              <w:bottom w:val="single" w:sz="4" w:space="0" w:color="000000"/>
            </w:tcBorders>
            <w:vAlign w:val="center"/>
          </w:tcPr>
          <w:p>
            <w:pPr>
              <w:pStyle w:val="TableContents"/>
              <w:rPr/>
            </w:pPr>
            <w:r>
              <w:rPr/>
              <w:t>Create separate, simplified procedure for migration of old projects. Prepare fast-track process for predetermined problem patterns.</w:t>
            </w:r>
          </w:p>
        </w:tc>
        <w:tc>
          <w:tcPr>
            <w:tcW w:w="4402" w:type="dxa"/>
            <w:tcBorders>
              <w:start w:val="single" w:sz="4" w:space="0" w:color="000000"/>
              <w:bottom w:val="single" w:sz="4" w:space="0" w:color="000000"/>
              <w:end w:val="single" w:sz="4" w:space="0" w:color="000000"/>
            </w:tcBorders>
            <w:vAlign w:val="center"/>
          </w:tcPr>
          <w:p>
            <w:pPr>
              <w:pStyle w:val="TableContents"/>
              <w:rPr/>
            </w:pPr>
            <w:r>
              <w:rPr/>
              <w:t>Different Realities: Old projects have varying conveyance statuses, existing RWAs, and registration under different laws (KAOA, KCSA, KSRA). Bundling creates practical and legal chaos. When all old projects rush in with myriad complaints, CA will get overwhelmed.</w:t>
            </w:r>
          </w:p>
        </w:tc>
      </w:tr>
      <w:tr>
        <w:trPr>
          <w:cantSplit/>
        </w:trPr>
        <w:tc>
          <w:tcPr>
            <w:tcW w:w="481" w:type="dxa"/>
            <w:tcBorders>
              <w:start w:val="single" w:sz="4" w:space="0" w:color="000000"/>
              <w:bottom w:val="single" w:sz="4" w:space="0" w:color="000000"/>
            </w:tcBorders>
            <w:vAlign w:val="center"/>
          </w:tcPr>
          <w:p>
            <w:pPr>
              <w:pStyle w:val="TableContents"/>
              <w:rPr/>
            </w:pPr>
            <w:r>
              <w:rPr/>
              <w:t>50</w:t>
            </w:r>
          </w:p>
        </w:tc>
        <w:tc>
          <w:tcPr>
            <w:tcW w:w="985" w:type="dxa"/>
            <w:tcBorders>
              <w:start w:val="single" w:sz="4" w:space="0" w:color="000000"/>
              <w:bottom w:val="single" w:sz="4" w:space="0" w:color="000000"/>
            </w:tcBorders>
            <w:vAlign w:val="center"/>
          </w:tcPr>
          <w:p>
            <w:pPr>
              <w:pStyle w:val="TableContents"/>
              <w:rPr/>
            </w:pPr>
            <w:r>
              <w:rPr/>
              <w:t>13(1)</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No provision for ongoing+future projects - only for projects completed before or after commencement.</w:t>
            </w:r>
          </w:p>
        </w:tc>
        <w:tc>
          <w:tcPr>
            <w:tcW w:w="4546" w:type="dxa"/>
            <w:tcBorders>
              <w:start w:val="single" w:sz="4" w:space="0" w:color="000000"/>
              <w:bottom w:val="single" w:sz="4" w:space="0" w:color="000000"/>
            </w:tcBorders>
            <w:vAlign w:val="center"/>
          </w:tcPr>
          <w:p>
            <w:pPr>
              <w:pStyle w:val="TableContents"/>
              <w:rPr/>
            </w:pPr>
            <w:r>
              <w:rPr/>
              <w:t>Add provision for projects under construction at commencement.</w:t>
            </w:r>
          </w:p>
        </w:tc>
        <w:tc>
          <w:tcPr>
            <w:tcW w:w="4402" w:type="dxa"/>
            <w:tcBorders>
              <w:start w:val="single" w:sz="4" w:space="0" w:color="000000"/>
              <w:bottom w:val="single" w:sz="4" w:space="0" w:color="000000"/>
              <w:end w:val="single" w:sz="4" w:space="0" w:color="000000"/>
            </w:tcBorders>
            <w:vAlign w:val="center"/>
          </w:tcPr>
          <w:p>
            <w:pPr>
              <w:pStyle w:val="TableContents"/>
              <w:rPr/>
            </w:pPr>
            <w:r>
              <w:rPr/>
              <w:t>Transition gap. Projects under construction at commencement need clear migration path.</w:t>
            </w:r>
          </w:p>
        </w:tc>
      </w:tr>
      <w:tr>
        <w:trPr>
          <w:cantSplit/>
        </w:trPr>
        <w:tc>
          <w:tcPr>
            <w:tcW w:w="481" w:type="dxa"/>
            <w:tcBorders>
              <w:start w:val="single" w:sz="4" w:space="0" w:color="000000"/>
              <w:bottom w:val="single" w:sz="4" w:space="0" w:color="000000"/>
            </w:tcBorders>
            <w:vAlign w:val="center"/>
          </w:tcPr>
          <w:p>
            <w:pPr>
              <w:pStyle w:val="TableContents"/>
              <w:rPr/>
            </w:pPr>
            <w:r>
              <w:rPr/>
              <w:t>51</w:t>
            </w:r>
          </w:p>
        </w:tc>
        <w:tc>
          <w:tcPr>
            <w:tcW w:w="985" w:type="dxa"/>
            <w:tcBorders>
              <w:start w:val="single" w:sz="4" w:space="0" w:color="000000"/>
              <w:bottom w:val="single" w:sz="4" w:space="0" w:color="000000"/>
            </w:tcBorders>
            <w:vAlign w:val="center"/>
          </w:tcPr>
          <w:p>
            <w:pPr>
              <w:pStyle w:val="TableContents"/>
              <w:rPr/>
            </w:pPr>
            <w:r>
              <w:rPr/>
              <w:t>13(2)</w:t>
            </w:r>
          </w:p>
        </w:tc>
        <w:tc>
          <w:tcPr>
            <w:tcW w:w="1597" w:type="dxa"/>
            <w:tcBorders>
              <w:start w:val="single" w:sz="4" w:space="0" w:color="000000"/>
              <w:bottom w:val="single" w:sz="4" w:space="0" w:color="000000"/>
            </w:tcBorders>
            <w:vAlign w:val="center"/>
          </w:tcPr>
          <w:p>
            <w:pPr>
              <w:pStyle w:val="TableContents"/>
              <w:rPr/>
            </w:pPr>
            <w:r>
              <w:rPr/>
              <w:t>Legal/Governance</w:t>
            </w:r>
          </w:p>
        </w:tc>
        <w:tc>
          <w:tcPr>
            <w:tcW w:w="3921" w:type="dxa"/>
            <w:tcBorders>
              <w:start w:val="single" w:sz="4" w:space="0" w:color="000000"/>
              <w:bottom w:val="single" w:sz="4" w:space="0" w:color="000000"/>
            </w:tcBorders>
            <w:vAlign w:val="center"/>
          </w:tcPr>
          <w:p>
            <w:pPr>
              <w:pStyle w:val="TableContents"/>
              <w:rPr/>
            </w:pPr>
            <w:r>
              <w:rPr/>
              <w:t>Allows association to submit declaration "with permission of competent authority" if promoter fails. This legalizes buyer-executed DoDs which are void ab initio.</w:t>
            </w:r>
          </w:p>
        </w:tc>
        <w:tc>
          <w:tcPr>
            <w:tcW w:w="4546" w:type="dxa"/>
            <w:tcBorders>
              <w:start w:val="single" w:sz="4" w:space="0" w:color="000000"/>
              <w:bottom w:val="single" w:sz="4" w:space="0" w:color="000000"/>
            </w:tcBorders>
            <w:vAlign w:val="center"/>
          </w:tcPr>
          <w:p>
            <w:pPr>
              <w:pStyle w:val="TableContents"/>
              <w:rPr/>
            </w:pPr>
            <w:r>
              <w:rPr/>
              <w:t>Delete Section 13(2) or restrict to cases where promoter is genuinely untraceable after due diligence.</w:t>
            </w:r>
          </w:p>
        </w:tc>
        <w:tc>
          <w:tcPr>
            <w:tcW w:w="4402" w:type="dxa"/>
            <w:tcBorders>
              <w:start w:val="single" w:sz="4" w:space="0" w:color="000000"/>
              <w:bottom w:val="single" w:sz="4" w:space="0" w:color="000000"/>
              <w:end w:val="single" w:sz="4" w:space="0" w:color="000000"/>
            </w:tcBorders>
            <w:vAlign w:val="center"/>
          </w:tcPr>
          <w:p>
            <w:pPr>
              <w:pStyle w:val="TableContents"/>
              <w:rPr/>
            </w:pPr>
            <w:r>
              <w:rPr/>
              <w:t>Only promoter can convey title. This clause legalizes the very practice that is primary source of defective titles.</w:t>
            </w:r>
          </w:p>
        </w:tc>
      </w:tr>
      <w:tr>
        <w:trPr>
          <w:cantSplit/>
        </w:trPr>
        <w:tc>
          <w:tcPr>
            <w:tcW w:w="481" w:type="dxa"/>
            <w:tcBorders>
              <w:start w:val="single" w:sz="4" w:space="0" w:color="000000"/>
              <w:bottom w:val="single" w:sz="4" w:space="0" w:color="000000"/>
            </w:tcBorders>
            <w:vAlign w:val="center"/>
          </w:tcPr>
          <w:p>
            <w:pPr>
              <w:pStyle w:val="TableContents"/>
              <w:rPr/>
            </w:pPr>
            <w:r>
              <w:rPr/>
              <w:t>52</w:t>
            </w:r>
          </w:p>
        </w:tc>
        <w:tc>
          <w:tcPr>
            <w:tcW w:w="985" w:type="dxa"/>
            <w:tcBorders>
              <w:start w:val="single" w:sz="4" w:space="0" w:color="000000"/>
              <w:bottom w:val="single" w:sz="4" w:space="0" w:color="000000"/>
            </w:tcBorders>
            <w:vAlign w:val="center"/>
          </w:tcPr>
          <w:p>
            <w:pPr>
              <w:pStyle w:val="TableContents"/>
              <w:rPr/>
            </w:pPr>
            <w:r>
              <w:rPr/>
              <w:t>13(2)</w:t>
            </w:r>
          </w:p>
        </w:tc>
        <w:tc>
          <w:tcPr>
            <w:tcW w:w="1597" w:type="dxa"/>
            <w:tcBorders>
              <w:start w:val="single" w:sz="4" w:space="0" w:color="000000"/>
              <w:bottom w:val="single" w:sz="4" w:space="0" w:color="000000"/>
            </w:tcBorders>
            <w:vAlign w:val="center"/>
          </w:tcPr>
          <w:p>
            <w:pPr>
              <w:pStyle w:val="TableContents"/>
              <w:rPr/>
            </w:pPr>
            <w:r>
              <w:rPr/>
              <w:t>Migration</w:t>
            </w:r>
          </w:p>
        </w:tc>
        <w:tc>
          <w:tcPr>
            <w:tcW w:w="3921" w:type="dxa"/>
            <w:tcBorders>
              <w:start w:val="single" w:sz="4" w:space="0" w:color="000000"/>
              <w:bottom w:val="single" w:sz="4" w:space="0" w:color="000000"/>
            </w:tcBorders>
            <w:vAlign w:val="center"/>
          </w:tcPr>
          <w:p>
            <w:pPr>
              <w:pStyle w:val="TableContents"/>
              <w:rPr/>
            </w:pPr>
            <w:r>
              <w:rPr/>
              <w:t>For old projects with absent promoters - no fallback mechanism if promoter is bankrupt, dead, or untraceable.</w:t>
            </w:r>
          </w:p>
        </w:tc>
        <w:tc>
          <w:tcPr>
            <w:tcW w:w="4546" w:type="dxa"/>
            <w:tcBorders>
              <w:start w:val="single" w:sz="4" w:space="0" w:color="000000"/>
              <w:bottom w:val="single" w:sz="4" w:space="0" w:color="000000"/>
            </w:tcBorders>
            <w:vAlign w:val="center"/>
          </w:tcPr>
          <w:p>
            <w:pPr>
              <w:pStyle w:val="TableContents"/>
              <w:rPr/>
            </w:pPr>
            <w:r>
              <w:rPr/>
              <w:t>Provide simplified mechanism for old projects where promoter cannot be located. Allow association to submit declaration based on available documents, with CA empowered to accept prima facie case.</w:t>
            </w:r>
          </w:p>
        </w:tc>
        <w:tc>
          <w:tcPr>
            <w:tcW w:w="4402" w:type="dxa"/>
            <w:tcBorders>
              <w:start w:val="single" w:sz="4" w:space="0" w:color="000000"/>
              <w:bottom w:val="single" w:sz="4" w:space="0" w:color="000000"/>
              <w:end w:val="single" w:sz="4" w:space="0" w:color="000000"/>
            </w:tcBorders>
            <w:vAlign w:val="center"/>
          </w:tcPr>
          <w:p>
            <w:pPr>
              <w:pStyle w:val="TableContents"/>
              <w:rPr/>
            </w:pPr>
            <w:r>
              <w:rPr/>
              <w:t>Many old projects have absent promoters. Association cannot form without documents. CA cannot help without documents.</w:t>
            </w:r>
          </w:p>
        </w:tc>
      </w:tr>
      <w:tr>
        <w:trPr>
          <w:cantSplit/>
        </w:trPr>
        <w:tc>
          <w:tcPr>
            <w:tcW w:w="481" w:type="dxa"/>
            <w:tcBorders>
              <w:start w:val="single" w:sz="4" w:space="0" w:color="000000"/>
              <w:bottom w:val="single" w:sz="4" w:space="0" w:color="000000"/>
            </w:tcBorders>
            <w:vAlign w:val="center"/>
          </w:tcPr>
          <w:p>
            <w:pPr>
              <w:pStyle w:val="TableContents"/>
              <w:rPr/>
            </w:pPr>
            <w:r>
              <w:rPr/>
              <w:t>53</w:t>
            </w:r>
          </w:p>
        </w:tc>
        <w:tc>
          <w:tcPr>
            <w:tcW w:w="985" w:type="dxa"/>
            <w:tcBorders>
              <w:start w:val="single" w:sz="4" w:space="0" w:color="000000"/>
              <w:bottom w:val="single" w:sz="4" w:space="0" w:color="000000"/>
            </w:tcBorders>
            <w:vAlign w:val="center"/>
          </w:tcPr>
          <w:p>
            <w:pPr>
              <w:pStyle w:val="TableContents"/>
              <w:rPr/>
            </w:pPr>
            <w:r>
              <w:rPr/>
              <w:t>13(3)</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After scrutiny of declaration - no detailed checklist for scrutiny; no format for register where records are kept.</w:t>
            </w:r>
          </w:p>
        </w:tc>
        <w:tc>
          <w:tcPr>
            <w:tcW w:w="4546" w:type="dxa"/>
            <w:tcBorders>
              <w:start w:val="single" w:sz="4" w:space="0" w:color="000000"/>
              <w:bottom w:val="single" w:sz="4" w:space="0" w:color="000000"/>
            </w:tcBorders>
            <w:vAlign w:val="center"/>
          </w:tcPr>
          <w:p>
            <w:pPr>
              <w:pStyle w:val="TableContents"/>
              <w:rPr/>
            </w:pPr>
            <w:r>
              <w:rPr/>
              <w:t>Refer to Rules for detailed checklist for scrutiny. Rules must also define format of register where records are to be kept.</w:t>
            </w:r>
          </w:p>
        </w:tc>
        <w:tc>
          <w:tcPr>
            <w:tcW w:w="4402" w:type="dxa"/>
            <w:tcBorders>
              <w:start w:val="single" w:sz="4" w:space="0" w:color="000000"/>
              <w:bottom w:val="single" w:sz="4" w:space="0" w:color="000000"/>
              <w:end w:val="single" w:sz="4" w:space="0" w:color="000000"/>
            </w:tcBorders>
            <w:vAlign w:val="center"/>
          </w:tcPr>
          <w:p>
            <w:pPr>
              <w:pStyle w:val="TableContents"/>
              <w:rPr/>
            </w:pPr>
            <w:r>
              <w:rPr/>
              <w:t>Process not defined: (1) How is scrutiny carried out ("using checklist as prescribed"); (2) What is format of records to be kept?</w:t>
            </w:r>
          </w:p>
        </w:tc>
      </w:tr>
      <w:tr>
        <w:trPr>
          <w:cantSplit/>
        </w:trPr>
        <w:tc>
          <w:tcPr>
            <w:tcW w:w="481" w:type="dxa"/>
            <w:tcBorders>
              <w:start w:val="single" w:sz="4" w:space="0" w:color="000000"/>
              <w:bottom w:val="single" w:sz="4" w:space="0" w:color="000000"/>
            </w:tcBorders>
            <w:vAlign w:val="center"/>
          </w:tcPr>
          <w:p>
            <w:pPr>
              <w:pStyle w:val="TableContents"/>
              <w:rPr/>
            </w:pPr>
            <w:r>
              <w:rPr/>
              <w:t>54</w:t>
            </w:r>
          </w:p>
        </w:tc>
        <w:tc>
          <w:tcPr>
            <w:tcW w:w="985" w:type="dxa"/>
            <w:tcBorders>
              <w:start w:val="single" w:sz="4" w:space="0" w:color="000000"/>
              <w:bottom w:val="single" w:sz="4" w:space="0" w:color="000000"/>
            </w:tcBorders>
            <w:vAlign w:val="center"/>
          </w:tcPr>
          <w:p>
            <w:pPr>
              <w:pStyle w:val="TableContents"/>
              <w:rPr/>
            </w:pPr>
            <w:r>
              <w:rPr/>
              <w:t>13(3), 41(b)</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No mandate to maintain "Rejected Register" or index returned Declarations and Bye-laws.</w:t>
            </w:r>
          </w:p>
        </w:tc>
        <w:tc>
          <w:tcPr>
            <w:tcW w:w="4546" w:type="dxa"/>
            <w:tcBorders>
              <w:start w:val="single" w:sz="4" w:space="0" w:color="000000"/>
              <w:bottom w:val="single" w:sz="4" w:space="0" w:color="000000"/>
            </w:tcBorders>
            <w:vAlign w:val="center"/>
          </w:tcPr>
          <w:p>
            <w:pPr>
              <w:pStyle w:val="TableContents"/>
              <w:rPr/>
            </w:pPr>
            <w:r>
              <w:rPr/>
              <w:t>Insert new sub-section: "The Competent Authority shall maintain a public 'Rejected/Returned Register' indexed by project name and application date, containing the reasons for rejection. A copy of the returned document with the defect list shall be scanned and retained as a permanent record."</w:t>
            </w:r>
          </w:p>
        </w:tc>
        <w:tc>
          <w:tcPr>
            <w:tcW w:w="4402" w:type="dxa"/>
            <w:tcBorders>
              <w:start w:val="single" w:sz="4" w:space="0" w:color="000000"/>
              <w:bottom w:val="single" w:sz="4" w:space="0" w:color="000000"/>
              <w:end w:val="single" w:sz="4" w:space="0" w:color="000000"/>
            </w:tcBorders>
            <w:vAlign w:val="center"/>
          </w:tcPr>
          <w:p>
            <w:pPr>
              <w:pStyle w:val="TableContents"/>
              <w:rPr/>
            </w:pPr>
            <w:r>
              <w:rPr/>
              <w:t>Prevents Bribery &amp; File Concealment: Absence of indexing allows CA to "lose" files or reject without systemic oversight. Public register ensures applicant can prove submission and track history, eliminating need for informal payments.</w:t>
            </w:r>
          </w:p>
        </w:tc>
      </w:tr>
      <w:tr>
        <w:trPr>
          <w:cantSplit/>
        </w:trPr>
        <w:tc>
          <w:tcPr>
            <w:tcW w:w="481" w:type="dxa"/>
            <w:tcBorders>
              <w:start w:val="single" w:sz="4" w:space="0" w:color="000000"/>
              <w:bottom w:val="single" w:sz="4" w:space="0" w:color="000000"/>
            </w:tcBorders>
            <w:vAlign w:val="center"/>
          </w:tcPr>
          <w:p>
            <w:pPr>
              <w:pStyle w:val="TableContents"/>
              <w:rPr/>
            </w:pPr>
            <w:r>
              <w:rPr/>
              <w:t>55</w:t>
            </w:r>
          </w:p>
        </w:tc>
        <w:tc>
          <w:tcPr>
            <w:tcW w:w="985" w:type="dxa"/>
            <w:tcBorders>
              <w:start w:val="single" w:sz="4" w:space="0" w:color="000000"/>
              <w:bottom w:val="single" w:sz="4" w:space="0" w:color="000000"/>
            </w:tcBorders>
            <w:vAlign w:val="center"/>
          </w:tcPr>
          <w:p>
            <w:pPr>
              <w:pStyle w:val="TableContents"/>
              <w:rPr/>
            </w:pPr>
            <w:r>
              <w:rPr/>
              <w:t>13(4)</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"within such period, not exceeding thirty days, as may be specified" - vague.</w:t>
            </w:r>
          </w:p>
        </w:tc>
        <w:tc>
          <w:tcPr>
            <w:tcW w:w="4546" w:type="dxa"/>
            <w:tcBorders>
              <w:start w:val="single" w:sz="4" w:space="0" w:color="000000"/>
              <w:bottom w:val="single" w:sz="4" w:space="0" w:color="000000"/>
            </w:tcBorders>
            <w:vAlign w:val="center"/>
          </w:tcPr>
          <w:p>
            <w:pPr>
              <w:pStyle w:val="TableContents"/>
              <w:rPr/>
            </w:pPr>
            <w:r>
              <w:rPr/>
              <w:t>"within thirty days from the date of return"</w:t>
            </w:r>
          </w:p>
        </w:tc>
        <w:tc>
          <w:tcPr>
            <w:tcW w:w="4402" w:type="dxa"/>
            <w:tcBorders>
              <w:start w:val="single" w:sz="4" w:space="0" w:color="000000"/>
              <w:bottom w:val="single" w:sz="4" w:space="0" w:color="000000"/>
              <w:end w:val="single" w:sz="4" w:space="0" w:color="000000"/>
            </w:tcBorders>
            <w:vAlign w:val="center"/>
          </w:tcPr>
          <w:p>
            <w:pPr>
              <w:pStyle w:val="TableContents"/>
              <w:rPr/>
            </w:pPr>
            <w:r>
              <w:rPr/>
              <w:t>Should be specific, not flexible.</w:t>
            </w:r>
          </w:p>
        </w:tc>
      </w:tr>
      <w:tr>
        <w:trPr>
          <w:cantSplit/>
        </w:trPr>
        <w:tc>
          <w:tcPr>
            <w:tcW w:w="481" w:type="dxa"/>
            <w:tcBorders>
              <w:start w:val="single" w:sz="4" w:space="0" w:color="000000"/>
              <w:bottom w:val="single" w:sz="4" w:space="0" w:color="000000"/>
            </w:tcBorders>
            <w:vAlign w:val="center"/>
          </w:tcPr>
          <w:p>
            <w:pPr>
              <w:pStyle w:val="TableContents"/>
              <w:rPr/>
            </w:pPr>
            <w:r>
              <w:rPr/>
              <w:t>56</w:t>
            </w:r>
          </w:p>
        </w:tc>
        <w:tc>
          <w:tcPr>
            <w:tcW w:w="985" w:type="dxa"/>
            <w:tcBorders>
              <w:start w:val="single" w:sz="4" w:space="0" w:color="000000"/>
              <w:bottom w:val="single" w:sz="4" w:space="0" w:color="000000"/>
            </w:tcBorders>
            <w:vAlign w:val="center"/>
          </w:tcPr>
          <w:p>
            <w:pPr>
              <w:pStyle w:val="TableContents"/>
              <w:rPr/>
            </w:pPr>
            <w:r>
              <w:rPr/>
              <w:t>14</w:t>
            </w:r>
          </w:p>
        </w:tc>
        <w:tc>
          <w:tcPr>
            <w:tcW w:w="1597" w:type="dxa"/>
            <w:tcBorders>
              <w:start w:val="single" w:sz="4" w:space="0" w:color="000000"/>
              <w:bottom w:val="single" w:sz="4" w:space="0" w:color="000000"/>
            </w:tcBorders>
            <w:vAlign w:val="center"/>
          </w:tcPr>
          <w:p>
            <w:pPr>
              <w:pStyle w:val="TableContents"/>
              <w:rPr/>
            </w:pPr>
            <w:r>
              <w:rPr/>
              <w:t>Verification</w:t>
            </w:r>
          </w:p>
        </w:tc>
        <w:tc>
          <w:tcPr>
            <w:tcW w:w="3921" w:type="dxa"/>
            <w:tcBorders>
              <w:start w:val="single" w:sz="4" w:space="0" w:color="000000"/>
              <w:bottom w:val="single" w:sz="4" w:space="0" w:color="000000"/>
            </w:tcBorders>
            <w:vAlign w:val="center"/>
          </w:tcPr>
          <w:p>
            <w:pPr>
              <w:pStyle w:val="TableContents"/>
              <w:rPr/>
            </w:pPr>
            <w:r>
              <w:rPr/>
              <w:t>Competent Authority "scrutinizes" but has no verification power. CA merely "records" what is submitted - exactly the KAOA failure pattern.</w:t>
            </w:r>
          </w:p>
        </w:tc>
        <w:tc>
          <w:tcPr>
            <w:tcW w:w="4546" w:type="dxa"/>
            <w:tcBorders>
              <w:start w:val="single" w:sz="4" w:space="0" w:color="000000"/>
              <w:bottom w:val="single" w:sz="4" w:space="0" w:color="000000"/>
            </w:tcBorders>
            <w:vAlign w:val="center"/>
          </w:tcPr>
          <w:p>
            <w:pPr>
              <w:pStyle w:val="TableContents"/>
              <w:rPr/>
            </w:pPr>
            <w:r>
              <w:rPr/>
              <w:t>Mandate CA verify: (a) title with Sub-Registrar; (b) sanctioned plan with authorities; (c) area calculations; (d) UDI calculations; (e) encumbrance statements. Issue Certificate of Verification before recording declaration.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No verification of declaration contents. Promoters can register declarations on encumbered land, leaving owners with defective titles.</w:t>
            </w:r>
          </w:p>
        </w:tc>
      </w:tr>
      <w:tr>
        <w:trPr>
          <w:cantSplit/>
        </w:trPr>
        <w:tc>
          <w:tcPr>
            <w:tcW w:w="481" w:type="dxa"/>
            <w:tcBorders>
              <w:start w:val="single" w:sz="4" w:space="0" w:color="000000"/>
              <w:bottom w:val="single" w:sz="4" w:space="0" w:color="000000"/>
            </w:tcBorders>
            <w:vAlign w:val="center"/>
          </w:tcPr>
          <w:p>
            <w:pPr>
              <w:pStyle w:val="TableContents"/>
              <w:rPr/>
            </w:pPr>
            <w:r>
              <w:rPr/>
              <w:t>57</w:t>
            </w:r>
          </w:p>
        </w:tc>
        <w:tc>
          <w:tcPr>
            <w:tcW w:w="985" w:type="dxa"/>
            <w:tcBorders>
              <w:start w:val="single" w:sz="4" w:space="0" w:color="000000"/>
              <w:bottom w:val="single" w:sz="4" w:space="0" w:color="000000"/>
            </w:tcBorders>
            <w:vAlign w:val="center"/>
          </w:tcPr>
          <w:p>
            <w:pPr>
              <w:pStyle w:val="TableContents"/>
              <w:rPr/>
            </w:pPr>
            <w:r>
              <w:rPr/>
              <w:t>14(1)(a)</w:t>
            </w:r>
          </w:p>
        </w:tc>
        <w:tc>
          <w:tcPr>
            <w:tcW w:w="1597" w:type="dxa"/>
            <w:tcBorders>
              <w:start w:val="single" w:sz="4" w:space="0" w:color="000000"/>
              <w:bottom w:val="single" w:sz="4" w:space="0" w:color="000000"/>
            </w:tcBorders>
            <w:vAlign w:val="center"/>
          </w:tcPr>
          <w:p>
            <w:pPr>
              <w:pStyle w:val="TableContents"/>
              <w:rPr/>
            </w:pPr>
            <w:r>
              <w:rPr/>
              <w:t>Procedural/Legal</w:t>
            </w:r>
          </w:p>
        </w:tc>
        <w:tc>
          <w:tcPr>
            <w:tcW w:w="3921" w:type="dxa"/>
            <w:tcBorders>
              <w:start w:val="single" w:sz="4" w:space="0" w:color="000000"/>
              <w:bottom w:val="single" w:sz="4" w:space="0" w:color="000000"/>
            </w:tcBorders>
            <w:vAlign w:val="center"/>
          </w:tcPr>
          <w:p>
            <w:pPr>
              <w:pStyle w:val="TableContents"/>
              <w:rPr/>
            </w:pPr>
            <w:r>
              <w:rPr/>
              <w:t>"the promoter shall have right, title and interest over the land...as freehold" - this is a precondition, not a "content" of declaration.</w:t>
            </w:r>
          </w:p>
        </w:tc>
        <w:tc>
          <w:tcPr>
            <w:tcW w:w="4546" w:type="dxa"/>
            <w:tcBorders>
              <w:start w:val="single" w:sz="4" w:space="0" w:color="000000"/>
              <w:bottom w:val="single" w:sz="4" w:space="0" w:color="000000"/>
            </w:tcBorders>
            <w:vAlign w:val="center"/>
          </w:tcPr>
          <w:p>
            <w:pPr>
              <w:pStyle w:val="TableContents"/>
              <w:rPr/>
            </w:pPr>
            <w:r>
              <w:rPr/>
              <w:t>Move to separate section or sub-section as a requirement before filing declaration.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The existing wording makes it appear as mere description rather than a substantive requirement.</w:t>
            </w:r>
          </w:p>
        </w:tc>
      </w:tr>
      <w:tr>
        <w:trPr>
          <w:cantSplit/>
        </w:trPr>
        <w:tc>
          <w:tcPr>
            <w:tcW w:w="481" w:type="dxa"/>
            <w:tcBorders>
              <w:start w:val="single" w:sz="4" w:space="0" w:color="000000"/>
              <w:bottom w:val="single" w:sz="4" w:space="0" w:color="000000"/>
            </w:tcBorders>
            <w:vAlign w:val="center"/>
          </w:tcPr>
          <w:p>
            <w:pPr>
              <w:pStyle w:val="TableContents"/>
              <w:rPr/>
            </w:pPr>
            <w:r>
              <w:rPr/>
              <w:t>58</w:t>
            </w:r>
          </w:p>
        </w:tc>
        <w:tc>
          <w:tcPr>
            <w:tcW w:w="985" w:type="dxa"/>
            <w:tcBorders>
              <w:start w:val="single" w:sz="4" w:space="0" w:color="000000"/>
              <w:bottom w:val="single" w:sz="4" w:space="0" w:color="000000"/>
            </w:tcBorders>
            <w:vAlign w:val="center"/>
          </w:tcPr>
          <w:p>
            <w:pPr>
              <w:pStyle w:val="TableContents"/>
              <w:rPr/>
            </w:pPr>
            <w:r>
              <w:rPr/>
              <w:t>14(1)(a)</w:t>
            </w:r>
          </w:p>
        </w:tc>
        <w:tc>
          <w:tcPr>
            <w:tcW w:w="1597" w:type="dxa"/>
            <w:tcBorders>
              <w:start w:val="single" w:sz="4" w:space="0" w:color="000000"/>
              <w:bottom w:val="single" w:sz="4" w:space="0" w:color="000000"/>
            </w:tcBorders>
            <w:vAlign w:val="center"/>
          </w:tcPr>
          <w:p>
            <w:pPr>
              <w:pStyle w:val="TableContents"/>
              <w:rPr/>
            </w:pPr>
            <w:r>
              <w:rPr/>
              <w:t>Title Verification</w:t>
            </w:r>
          </w:p>
        </w:tc>
        <w:tc>
          <w:tcPr>
            <w:tcW w:w="3921" w:type="dxa"/>
            <w:tcBorders>
              <w:start w:val="single" w:sz="4" w:space="0" w:color="000000"/>
              <w:bottom w:val="single" w:sz="4" w:space="0" w:color="000000"/>
            </w:tcBorders>
            <w:vAlign w:val="center"/>
          </w:tcPr>
          <w:p>
            <w:pPr>
              <w:pStyle w:val="TableContents"/>
              <w:rPr/>
            </w:pPr>
            <w:r>
              <w:rPr/>
              <w:t>No land title verification before declaration registration.</w:t>
            </w:r>
          </w:p>
        </w:tc>
        <w:tc>
          <w:tcPr>
            <w:tcW w:w="4546" w:type="dxa"/>
            <w:tcBorders>
              <w:start w:val="single" w:sz="4" w:space="0" w:color="000000"/>
              <w:bottom w:val="single" w:sz="4" w:space="0" w:color="000000"/>
            </w:tcBorders>
            <w:vAlign w:val="center"/>
          </w:tcPr>
          <w:p>
            <w:pPr>
              <w:pStyle w:val="TableContents"/>
              <w:rPr/>
            </w:pPr>
            <w:r>
              <w:rPr/>
              <w:t>Add Section 13A requiring CA to independently verify title with Sub-Registrar and revenue authorities before recording declaration.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No verification means promoters can register declarations on encumbered land.</w:t>
            </w:r>
          </w:p>
        </w:tc>
      </w:tr>
      <w:tr>
        <w:trPr>
          <w:cantSplit/>
        </w:trPr>
        <w:tc>
          <w:tcPr>
            <w:tcW w:w="481" w:type="dxa"/>
            <w:tcBorders>
              <w:start w:val="single" w:sz="4" w:space="0" w:color="000000"/>
              <w:bottom w:val="single" w:sz="4" w:space="0" w:color="000000"/>
            </w:tcBorders>
            <w:vAlign w:val="center"/>
          </w:tcPr>
          <w:p>
            <w:pPr>
              <w:pStyle w:val="TableContents"/>
              <w:rPr/>
            </w:pPr>
            <w:r>
              <w:rPr/>
              <w:t>59</w:t>
            </w:r>
          </w:p>
        </w:tc>
        <w:tc>
          <w:tcPr>
            <w:tcW w:w="985" w:type="dxa"/>
            <w:tcBorders>
              <w:start w:val="single" w:sz="4" w:space="0" w:color="000000"/>
              <w:bottom w:val="single" w:sz="4" w:space="0" w:color="000000"/>
            </w:tcBorders>
            <w:vAlign w:val="center"/>
          </w:tcPr>
          <w:p>
            <w:pPr>
              <w:pStyle w:val="TableContents"/>
              <w:rPr/>
            </w:pPr>
            <w:r>
              <w:rPr/>
              <w:t>14(1)(b)</w:t>
            </w:r>
          </w:p>
        </w:tc>
        <w:tc>
          <w:tcPr>
            <w:tcW w:w="1597" w:type="dxa"/>
            <w:tcBorders>
              <w:start w:val="single" w:sz="4" w:space="0" w:color="000000"/>
              <w:bottom w:val="single" w:sz="4" w:space="0" w:color="000000"/>
            </w:tcBorders>
            <w:vAlign w:val="center"/>
          </w:tcPr>
          <w:p>
            <w:pPr>
              <w:pStyle w:val="TableContents"/>
              <w:rPr/>
            </w:pPr>
            <w:r>
              <w:rPr/>
              <w:t>Verification</w:t>
            </w:r>
          </w:p>
        </w:tc>
        <w:tc>
          <w:tcPr>
            <w:tcW w:w="3921" w:type="dxa"/>
            <w:tcBorders>
              <w:start w:val="single" w:sz="4" w:space="0" w:color="000000"/>
              <w:bottom w:val="single" w:sz="4" w:space="0" w:color="000000"/>
            </w:tcBorders>
            <w:vAlign w:val="center"/>
          </w:tcPr>
          <w:p>
            <w:pPr>
              <w:pStyle w:val="TableContents"/>
              <w:rPr/>
            </w:pPr>
            <w:r>
              <w:rPr/>
              <w:t>"sanctioned plan" - CA doesn't verify approvals (CC from BDA+ULB, fire services, BWSSB, CFE+CFO from KSPCB).</w:t>
            </w:r>
          </w:p>
        </w:tc>
        <w:tc>
          <w:tcPr>
            <w:tcW w:w="4546" w:type="dxa"/>
            <w:tcBorders>
              <w:start w:val="single" w:sz="4" w:space="0" w:color="000000"/>
              <w:bottom w:val="single" w:sz="4" w:space="0" w:color="000000"/>
            </w:tcBorders>
            <w:vAlign w:val="center"/>
          </w:tcPr>
          <w:p>
            <w:pPr>
              <w:pStyle w:val="TableContents"/>
              <w:rPr/>
            </w:pPr>
            <w:r>
              <w:rPr/>
              <w:t>Mandate CA verify all statutory approvals with issuing authorities.</w:t>
            </w:r>
          </w:p>
        </w:tc>
        <w:tc>
          <w:tcPr>
            <w:tcW w:w="4402" w:type="dxa"/>
            <w:tcBorders>
              <w:start w:val="single" w:sz="4" w:space="0" w:color="000000"/>
              <w:bottom w:val="single" w:sz="4" w:space="0" w:color="000000"/>
              <w:end w:val="single" w:sz="4" w:space="0" w:color="000000"/>
            </w:tcBorders>
            <w:vAlign w:val="center"/>
          </w:tcPr>
          <w:p>
            <w:pPr>
              <w:pStyle w:val="TableContents"/>
              <w:rPr/>
            </w:pPr>
            <w:r>
              <w:rPr/>
              <w:t>No verification of approvals means builder can submit false or incomplete approvals.</w:t>
            </w:r>
          </w:p>
        </w:tc>
      </w:tr>
      <w:tr>
        <w:trPr>
          <w:cantSplit/>
        </w:trPr>
        <w:tc>
          <w:tcPr>
            <w:tcW w:w="481" w:type="dxa"/>
            <w:tcBorders>
              <w:start w:val="single" w:sz="4" w:space="0" w:color="000000"/>
              <w:bottom w:val="single" w:sz="4" w:space="0" w:color="000000"/>
            </w:tcBorders>
            <w:vAlign w:val="center"/>
          </w:tcPr>
          <w:p>
            <w:pPr>
              <w:pStyle w:val="TableContents"/>
              <w:rPr/>
            </w:pPr>
            <w:r>
              <w:rPr/>
              <w:t>60</w:t>
            </w:r>
          </w:p>
        </w:tc>
        <w:tc>
          <w:tcPr>
            <w:tcW w:w="985" w:type="dxa"/>
            <w:tcBorders>
              <w:start w:val="single" w:sz="4" w:space="0" w:color="000000"/>
              <w:bottom w:val="single" w:sz="4" w:space="0" w:color="000000"/>
            </w:tcBorders>
            <w:vAlign w:val="center"/>
          </w:tcPr>
          <w:p>
            <w:pPr>
              <w:pStyle w:val="TableContents"/>
              <w:rPr/>
            </w:pPr>
            <w:r>
              <w:rPr/>
              <w:t>14(1)(h)</w:t>
            </w:r>
          </w:p>
        </w:tc>
        <w:tc>
          <w:tcPr>
            <w:tcW w:w="1597" w:type="dxa"/>
            <w:tcBorders>
              <w:start w:val="single" w:sz="4" w:space="0" w:color="000000"/>
              <w:bottom w:val="single" w:sz="4" w:space="0" w:color="000000"/>
            </w:tcBorders>
            <w:vAlign w:val="center"/>
          </w:tcPr>
          <w:p>
            <w:pPr>
              <w:pStyle w:val="TableContents"/>
              <w:rPr/>
            </w:pPr>
            <w:r>
              <w:rPr/>
              <w:t>Legal</w:t>
            </w:r>
          </w:p>
        </w:tc>
        <w:tc>
          <w:tcPr>
            <w:tcW w:w="3921" w:type="dxa"/>
            <w:tcBorders>
              <w:start w:val="single" w:sz="4" w:space="0" w:color="000000"/>
              <w:bottom w:val="single" w:sz="4" w:space="0" w:color="000000"/>
            </w:tcBorders>
            <w:vAlign w:val="center"/>
          </w:tcPr>
          <w:p>
            <w:pPr>
              <w:pStyle w:val="TableContents"/>
              <w:rPr/>
            </w:pPr>
            <w:r>
              <w:rPr/>
              <w:t>Encumbrance verification occurs only after OC (post-sale).</w:t>
            </w:r>
          </w:p>
        </w:tc>
        <w:tc>
          <w:tcPr>
            <w:tcW w:w="4546" w:type="dxa"/>
            <w:tcBorders>
              <w:start w:val="single" w:sz="4" w:space="0" w:color="000000"/>
              <w:bottom w:val="single" w:sz="4" w:space="0" w:color="000000"/>
            </w:tcBorders>
            <w:vAlign w:val="center"/>
          </w:tcPr>
          <w:p>
            <w:pPr>
              <w:pStyle w:val="TableContents"/>
              <w:rPr/>
            </w:pPr>
            <w:r>
              <w:rPr/>
              <w:t>Insert in Section 16: "The promoter shall submit an encumbrance certificate along with the sanctioned plan to the Competent Authority prior to the first booking/allotment of any apartment."</w:t>
            </w:r>
          </w:p>
        </w:tc>
        <w:tc>
          <w:tcPr>
            <w:tcW w:w="4402" w:type="dxa"/>
            <w:tcBorders>
              <w:start w:val="single" w:sz="4" w:space="0" w:color="000000"/>
              <w:bottom w:val="single" w:sz="4" w:space="0" w:color="000000"/>
              <w:end w:val="single" w:sz="4" w:space="0" w:color="000000"/>
            </w:tcBorders>
            <w:vAlign w:val="center"/>
          </w:tcPr>
          <w:p>
            <w:pPr>
              <w:pStyle w:val="TableContents"/>
              <w:rPr/>
            </w:pPr>
            <w:r>
              <w:rPr/>
              <w:t>Post-Mortem Jurisdiction: By the time CA scrutinizes encumbrances, flats are already sold.</w:t>
            </w:r>
          </w:p>
        </w:tc>
      </w:tr>
      <w:tr>
        <w:trPr>
          <w:cantSplit/>
        </w:trPr>
        <w:tc>
          <w:tcPr>
            <w:tcW w:w="481" w:type="dxa"/>
            <w:tcBorders>
              <w:start w:val="single" w:sz="4" w:space="0" w:color="000000"/>
              <w:bottom w:val="single" w:sz="4" w:space="0" w:color="000000"/>
            </w:tcBorders>
            <w:vAlign w:val="center"/>
          </w:tcPr>
          <w:p>
            <w:pPr>
              <w:pStyle w:val="TableContents"/>
              <w:rPr/>
            </w:pPr>
            <w:r>
              <w:rPr/>
              <w:t>61</w:t>
            </w:r>
          </w:p>
        </w:tc>
        <w:tc>
          <w:tcPr>
            <w:tcW w:w="985" w:type="dxa"/>
            <w:tcBorders>
              <w:start w:val="single" w:sz="4" w:space="0" w:color="000000"/>
              <w:bottom w:val="single" w:sz="4" w:space="0" w:color="000000"/>
            </w:tcBorders>
            <w:vAlign w:val="center"/>
          </w:tcPr>
          <w:p>
            <w:pPr>
              <w:pStyle w:val="TableContents"/>
              <w:rPr/>
            </w:pPr>
            <w:r>
              <w:rPr/>
              <w:t>14(2)</w:t>
            </w:r>
          </w:p>
        </w:tc>
        <w:tc>
          <w:tcPr>
            <w:tcW w:w="1597" w:type="dxa"/>
            <w:tcBorders>
              <w:start w:val="single" w:sz="4" w:space="0" w:color="000000"/>
              <w:bottom w:val="single" w:sz="4" w:space="0" w:color="000000"/>
            </w:tcBorders>
            <w:vAlign w:val="center"/>
          </w:tcPr>
          <w:p>
            <w:pPr>
              <w:pStyle w:val="TableContents"/>
              <w:rPr/>
            </w:pPr>
            <w:r>
              <w:rPr/>
              <w:t>UDI/Consent</w:t>
            </w:r>
          </w:p>
        </w:tc>
        <w:tc>
          <w:tcPr>
            <w:tcW w:w="3921" w:type="dxa"/>
            <w:tcBorders>
              <w:start w:val="single" w:sz="4" w:space="0" w:color="000000"/>
              <w:bottom w:val="single" w:sz="4" w:space="0" w:color="000000"/>
            </w:tcBorders>
            <w:vAlign w:val="center"/>
          </w:tcPr>
          <w:p>
            <w:pPr>
              <w:pStyle w:val="TableContents"/>
              <w:rPr/>
            </w:pPr>
            <w:r>
              <w:rPr/>
              <w:t>"Declaration may be amended...provided that no amendment affecting UDI shall be made except with consent" - but no mechanism to verify consent.</w:t>
            </w:r>
          </w:p>
        </w:tc>
        <w:tc>
          <w:tcPr>
            <w:tcW w:w="4546" w:type="dxa"/>
            <w:tcBorders>
              <w:start w:val="single" w:sz="4" w:space="0" w:color="000000"/>
              <w:bottom w:val="single" w:sz="4" w:space="0" w:color="000000"/>
            </w:tcBorders>
            <w:vAlign w:val="center"/>
          </w:tcPr>
          <w:p>
            <w:pPr>
              <w:pStyle w:val="TableContents"/>
              <w:rPr/>
            </w:pPr>
            <w:r>
              <w:rPr/>
              <w:t>Add: (3) Any amendment shall be accompanied by proof of consent. (4) CA shall not accept amendment unless registry has verified consent proof against registered owner list. (5) Reject amendments without consent proof and refer for penal action. (6) Officers accepting amendments without consent proof liable under BNS 198.</w:t>
            </w:r>
          </w:p>
        </w:tc>
        <w:tc>
          <w:tcPr>
            <w:tcW w:w="4402" w:type="dxa"/>
            <w:tcBorders>
              <w:start w:val="single" w:sz="4" w:space="0" w:color="000000"/>
              <w:bottom w:val="single" w:sz="4" w:space="0" w:color="000000"/>
              <w:end w:val="single" w:sz="4" w:space="0" w:color="000000"/>
            </w:tcBorders>
            <w:vAlign w:val="center"/>
          </w:tcPr>
          <w:p>
            <w:pPr>
              <w:pStyle w:val="TableContents"/>
              <w:rPr/>
            </w:pPr>
            <w:r>
              <w:rPr/>
              <w:t>This requirement is routinely ignored by builders. Amendments filed without consent. Buyers discover belatedly. No punishment codified. No liability for registering officers. No systemic check.</w:t>
            </w:r>
          </w:p>
        </w:tc>
      </w:tr>
      <w:tr>
        <w:trPr>
          <w:cantSplit/>
        </w:trPr>
        <w:tc>
          <w:tcPr>
            <w:tcW w:w="481" w:type="dxa"/>
            <w:tcBorders>
              <w:start w:val="single" w:sz="4" w:space="0" w:color="000000"/>
              <w:bottom w:val="single" w:sz="4" w:space="0" w:color="000000"/>
            </w:tcBorders>
            <w:vAlign w:val="center"/>
          </w:tcPr>
          <w:p>
            <w:pPr>
              <w:pStyle w:val="TableContents"/>
              <w:rPr/>
            </w:pPr>
            <w:r>
              <w:rPr/>
              <w:t>62</w:t>
            </w:r>
          </w:p>
        </w:tc>
        <w:tc>
          <w:tcPr>
            <w:tcW w:w="985" w:type="dxa"/>
            <w:tcBorders>
              <w:start w:val="single" w:sz="4" w:space="0" w:color="000000"/>
              <w:bottom w:val="single" w:sz="4" w:space="0" w:color="000000"/>
            </w:tcBorders>
            <w:vAlign w:val="center"/>
          </w:tcPr>
          <w:p>
            <w:pPr>
              <w:pStyle w:val="TableContents"/>
              <w:rPr/>
            </w:pPr>
            <w:r>
              <w:rPr/>
              <w:t>15</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Bye-laws can be registered first, then CA may declare them void later (Section 15(3)). Backward sequencing creates legal chaos.</w:t>
            </w:r>
          </w:p>
        </w:tc>
        <w:tc>
          <w:tcPr>
            <w:tcW w:w="4546" w:type="dxa"/>
            <w:tcBorders>
              <w:start w:val="single" w:sz="4" w:space="0" w:color="000000"/>
              <w:bottom w:val="single" w:sz="4" w:space="0" w:color="000000"/>
            </w:tcBorders>
            <w:vAlign w:val="center"/>
          </w:tcPr>
          <w:p>
            <w:pPr>
              <w:pStyle w:val="TableContents"/>
              <w:rPr/>
            </w:pPr>
            <w:r>
              <w:rPr/>
              <w:t>Require CA approval BEFORE registration. Amend Section 34: bye-laws submitted to CA for approval before they are filed with Sub-Registrar or applied to any apartment owner.</w:t>
            </w:r>
          </w:p>
        </w:tc>
        <w:tc>
          <w:tcPr>
            <w:tcW w:w="4402" w:type="dxa"/>
            <w:tcBorders>
              <w:start w:val="single" w:sz="4" w:space="0" w:color="000000"/>
              <w:bottom w:val="single" w:sz="4" w:space="0" w:color="000000"/>
              <w:end w:val="single" w:sz="4" w:space="0" w:color="000000"/>
            </w:tcBorders>
            <w:vAlign w:val="center"/>
          </w:tcPr>
          <w:p>
            <w:pPr>
              <w:pStyle w:val="TableContents"/>
              <w:rPr/>
            </w:pPr>
            <w:r>
              <w:rPr/>
              <w:t>Improper sequencing: Bye-laws registered and applied first, CA retains power to declare void later. Creates legal uncertainty and operational chaos. Proper approach is CA approval before registration.</w:t>
            </w:r>
          </w:p>
        </w:tc>
      </w:tr>
      <w:tr>
        <w:trPr>
          <w:cantSplit/>
        </w:trPr>
        <w:tc>
          <w:tcPr>
            <w:tcW w:w="481" w:type="dxa"/>
            <w:tcBorders>
              <w:start w:val="single" w:sz="4" w:space="0" w:color="000000"/>
              <w:bottom w:val="single" w:sz="4" w:space="0" w:color="000000"/>
            </w:tcBorders>
            <w:vAlign w:val="center"/>
          </w:tcPr>
          <w:p>
            <w:pPr>
              <w:pStyle w:val="TableContents"/>
              <w:rPr/>
            </w:pPr>
            <w:r>
              <w:rPr/>
              <w:t>63</w:t>
            </w:r>
          </w:p>
        </w:tc>
        <w:tc>
          <w:tcPr>
            <w:tcW w:w="985" w:type="dxa"/>
            <w:tcBorders>
              <w:start w:val="single" w:sz="4" w:space="0" w:color="000000"/>
              <w:bottom w:val="single" w:sz="4" w:space="0" w:color="000000"/>
            </w:tcBorders>
            <w:vAlign w:val="center"/>
          </w:tcPr>
          <w:p>
            <w:pPr>
              <w:pStyle w:val="TableContents"/>
              <w:rPr/>
            </w:pPr>
            <w:r>
              <w:rPr/>
              <w:t>15(3)</w:t>
            </w:r>
          </w:p>
        </w:tc>
        <w:tc>
          <w:tcPr>
            <w:tcW w:w="1597" w:type="dxa"/>
            <w:tcBorders>
              <w:start w:val="single" w:sz="4" w:space="0" w:color="000000"/>
              <w:bottom w:val="single" w:sz="4" w:space="0" w:color="000000"/>
            </w:tcBorders>
            <w:vAlign w:val="center"/>
          </w:tcPr>
          <w:p>
            <w:pPr>
              <w:pStyle w:val="TableContents"/>
              <w:rPr/>
            </w:pPr>
            <w:r>
              <w:rPr/>
              <w:t>Procedural/Governance</w:t>
            </w:r>
          </w:p>
        </w:tc>
        <w:tc>
          <w:tcPr>
            <w:tcW w:w="3921" w:type="dxa"/>
            <w:tcBorders>
              <w:start w:val="single" w:sz="4" w:space="0" w:color="000000"/>
              <w:bottom w:val="single" w:sz="4" w:space="0" w:color="000000"/>
            </w:tcBorders>
            <w:vAlign w:val="center"/>
          </w:tcPr>
          <w:p>
            <w:pPr>
              <w:pStyle w:val="TableContents"/>
              <w:rPr/>
            </w:pPr>
            <w:r>
              <w:rPr/>
              <w:t>"Where the competent authority finds...it may require the association to modify" - should be "shall".</w:t>
            </w:r>
          </w:p>
        </w:tc>
        <w:tc>
          <w:tcPr>
            <w:tcW w:w="4546" w:type="dxa"/>
            <w:tcBorders>
              <w:start w:val="single" w:sz="4" w:space="0" w:color="000000"/>
              <w:bottom w:val="single" w:sz="4" w:space="0" w:color="000000"/>
            </w:tcBorders>
            <w:vAlign w:val="center"/>
          </w:tcPr>
          <w:p>
            <w:pPr>
              <w:pStyle w:val="TableContents"/>
              <w:rPr/>
            </w:pPr>
            <w:r>
              <w:rPr/>
              <w:t>Change to "shall require the association to modify"</w:t>
            </w:r>
          </w:p>
        </w:tc>
        <w:tc>
          <w:tcPr>
            <w:tcW w:w="4402" w:type="dxa"/>
            <w:tcBorders>
              <w:start w:val="single" w:sz="4" w:space="0" w:color="000000"/>
              <w:bottom w:val="single" w:sz="4" w:space="0" w:color="000000"/>
              <w:end w:val="single" w:sz="4" w:space="0" w:color="000000"/>
            </w:tcBorders>
            <w:vAlign w:val="center"/>
          </w:tcPr>
          <w:p>
            <w:pPr>
              <w:pStyle w:val="TableContents"/>
              <w:rPr/>
            </w:pPr>
            <w:r>
              <w:rPr/>
              <w:t>If CA identifies a violation, it has a duty to act; leaving it discretionary undermines enforcement.</w:t>
            </w:r>
          </w:p>
        </w:tc>
      </w:tr>
      <w:tr>
        <w:trPr>
          <w:cantSplit/>
        </w:trPr>
        <w:tc>
          <w:tcPr>
            <w:tcW w:w="481" w:type="dxa"/>
            <w:tcBorders>
              <w:start w:val="single" w:sz="4" w:space="0" w:color="000000"/>
              <w:bottom w:val="single" w:sz="4" w:space="0" w:color="000000"/>
            </w:tcBorders>
            <w:vAlign w:val="center"/>
          </w:tcPr>
          <w:p>
            <w:pPr>
              <w:pStyle w:val="TableContents"/>
              <w:rPr/>
            </w:pPr>
            <w:r>
              <w:rPr/>
              <w:t>64</w:t>
            </w:r>
          </w:p>
        </w:tc>
        <w:tc>
          <w:tcPr>
            <w:tcW w:w="985" w:type="dxa"/>
            <w:tcBorders>
              <w:start w:val="single" w:sz="4" w:space="0" w:color="000000"/>
              <w:bottom w:val="single" w:sz="4" w:space="0" w:color="000000"/>
            </w:tcBorders>
            <w:vAlign w:val="center"/>
          </w:tcPr>
          <w:p>
            <w:pPr>
              <w:pStyle w:val="TableContents"/>
              <w:rPr/>
            </w:pPr>
            <w:r>
              <w:rPr/>
              <w:t>16</w:t>
            </w:r>
          </w:p>
        </w:tc>
        <w:tc>
          <w:tcPr>
            <w:tcW w:w="1597" w:type="dxa"/>
            <w:tcBorders>
              <w:start w:val="single" w:sz="4" w:space="0" w:color="000000"/>
              <w:bottom w:val="single" w:sz="4" w:space="0" w:color="000000"/>
            </w:tcBorders>
            <w:vAlign w:val="center"/>
          </w:tcPr>
          <w:p>
            <w:pPr>
              <w:pStyle w:val="TableContents"/>
              <w:rPr/>
            </w:pPr>
            <w:r>
              <w:rPr/>
              <w:t>Procedural/Timing</w:t>
            </w:r>
          </w:p>
        </w:tc>
        <w:tc>
          <w:tcPr>
            <w:tcW w:w="3921" w:type="dxa"/>
            <w:tcBorders>
              <w:start w:val="single" w:sz="4" w:space="0" w:color="000000"/>
              <w:bottom w:val="single" w:sz="4" w:space="0" w:color="000000"/>
            </w:tcBorders>
            <w:vAlign w:val="center"/>
          </w:tcPr>
          <w:p>
            <w:pPr>
              <w:pStyle w:val="TableContents"/>
              <w:rPr/>
            </w:pPr>
            <w:r>
              <w:rPr/>
              <w:t>Declaration filing - "When is it to be registered? Its timing is critical. Must be done before booking starts, so that specs and LCA lists are frozen."</w:t>
            </w:r>
          </w:p>
        </w:tc>
        <w:tc>
          <w:tcPr>
            <w:tcW w:w="4546" w:type="dxa"/>
            <w:tcBorders>
              <w:start w:val="single" w:sz="4" w:space="0" w:color="000000"/>
              <w:bottom w:val="single" w:sz="4" w:space="0" w:color="000000"/>
            </w:tcBorders>
            <w:vAlign w:val="center"/>
          </w:tcPr>
          <w:p>
            <w:pPr>
              <w:pStyle w:val="TableContents"/>
              <w:rPr/>
            </w:pPr>
            <w:r>
              <w:rPr/>
              <w:t>Mandate Declaration filing before first booking or RERA application.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Without pre-booking filing, builder can change project at will. Fraud of adding customers and changing LCAs occurs before DoD is registered.</w:t>
            </w:r>
          </w:p>
        </w:tc>
      </w:tr>
      <w:tr>
        <w:trPr>
          <w:cantSplit/>
        </w:trPr>
        <w:tc>
          <w:tcPr>
            <w:tcW w:w="481" w:type="dxa"/>
            <w:tcBorders>
              <w:start w:val="single" w:sz="4" w:space="0" w:color="000000"/>
              <w:bottom w:val="single" w:sz="4" w:space="0" w:color="000000"/>
            </w:tcBorders>
            <w:vAlign w:val="center"/>
          </w:tcPr>
          <w:p>
            <w:pPr>
              <w:pStyle w:val="TableContents"/>
              <w:rPr/>
            </w:pPr>
            <w:r>
              <w:rPr/>
              <w:t>65</w:t>
            </w:r>
          </w:p>
        </w:tc>
        <w:tc>
          <w:tcPr>
            <w:tcW w:w="985" w:type="dxa"/>
            <w:tcBorders>
              <w:start w:val="single" w:sz="4" w:space="0" w:color="000000"/>
              <w:bottom w:val="single" w:sz="4" w:space="0" w:color="000000"/>
            </w:tcBorders>
            <w:vAlign w:val="center"/>
          </w:tcPr>
          <w:p>
            <w:pPr>
              <w:pStyle w:val="TableContents"/>
              <w:rPr/>
            </w:pPr>
            <w:r>
              <w:rPr/>
              <w:t>16(1)(b)</w:t>
            </w:r>
          </w:p>
        </w:tc>
        <w:tc>
          <w:tcPr>
            <w:tcW w:w="1597" w:type="dxa"/>
            <w:tcBorders>
              <w:start w:val="single" w:sz="4" w:space="0" w:color="000000"/>
              <w:bottom w:val="single" w:sz="4" w:space="0" w:color="000000"/>
            </w:tcBorders>
            <w:vAlign w:val="center"/>
          </w:tcPr>
          <w:p>
            <w:pPr>
              <w:pStyle w:val="TableContents"/>
              <w:rPr/>
            </w:pPr>
            <w:r>
              <w:rPr/>
              <w:t>Financial</w:t>
            </w:r>
          </w:p>
        </w:tc>
        <w:tc>
          <w:tcPr>
            <w:tcW w:w="3921" w:type="dxa"/>
            <w:tcBorders>
              <w:start w:val="single" w:sz="4" w:space="0" w:color="000000"/>
              <w:bottom w:val="single" w:sz="4" w:space="0" w:color="000000"/>
            </w:tcBorders>
            <w:vAlign w:val="center"/>
          </w:tcPr>
          <w:p>
            <w:pPr>
              <w:pStyle w:val="TableContents"/>
              <w:rPr/>
            </w:pPr>
            <w:r>
              <w:rPr/>
              <w:t>Handover of "funds" is vague. Statutory utility deposits (BWSSB, KSPCB CFE/CFO fees, electricity infrastructure) not explicitly listed.</w:t>
            </w:r>
          </w:p>
        </w:tc>
        <w:tc>
          <w:tcPr>
            <w:tcW w:w="4546" w:type="dxa"/>
            <w:tcBorders>
              <w:start w:val="single" w:sz="4" w:space="0" w:color="000000"/>
              <w:bottom w:val="single" w:sz="4" w:space="0" w:color="000000"/>
            </w:tcBorders>
            <w:vAlign w:val="center"/>
          </w:tcPr>
          <w:p>
            <w:pPr>
              <w:pStyle w:val="TableContents"/>
              <w:rPr/>
            </w:pPr>
            <w:r>
              <w:rPr/>
              <w:t>Insert explicitly: "hand over to the association... (ix) all utility deposits, infrastructure charges, regulatory fees deposited with civic agencies (including BWSSB, KSPCB, and Electricity Supply Companies), and the original receipts thereof, along with a no-dues certificate from the promoter."</w:t>
            </w:r>
          </w:p>
        </w:tc>
        <w:tc>
          <w:tcPr>
            <w:tcW w:w="4402" w:type="dxa"/>
            <w:tcBorders>
              <w:start w:val="single" w:sz="4" w:space="0" w:color="000000"/>
              <w:bottom w:val="single" w:sz="4" w:space="0" w:color="000000"/>
              <w:end w:val="single" w:sz="4" w:space="0" w:color="000000"/>
            </w:tcBorders>
            <w:vAlign w:val="center"/>
          </w:tcPr>
          <w:p>
            <w:pPr>
              <w:pStyle w:val="TableContents"/>
              <w:rPr/>
            </w:pPr>
            <w:r>
              <w:rPr/>
              <w:t>Operational Bankruptcy: If builder retains these deposits, association cannot pay utility bills. CA has no statutory leverage to compel disclosure of these specific deposits, leaving association financially crippled from day one.</w:t>
            </w:r>
          </w:p>
        </w:tc>
      </w:tr>
      <w:tr>
        <w:trPr>
          <w:cantSplit/>
        </w:trPr>
        <w:tc>
          <w:tcPr>
            <w:tcW w:w="481" w:type="dxa"/>
            <w:tcBorders>
              <w:start w:val="single" w:sz="4" w:space="0" w:color="000000"/>
              <w:bottom w:val="single" w:sz="4" w:space="0" w:color="000000"/>
            </w:tcBorders>
            <w:vAlign w:val="center"/>
          </w:tcPr>
          <w:p>
            <w:pPr>
              <w:pStyle w:val="TableContents"/>
              <w:rPr/>
            </w:pPr>
            <w:r>
              <w:rPr/>
              <w:t>66</w:t>
            </w:r>
          </w:p>
        </w:tc>
        <w:tc>
          <w:tcPr>
            <w:tcW w:w="985" w:type="dxa"/>
            <w:tcBorders>
              <w:start w:val="single" w:sz="4" w:space="0" w:color="000000"/>
              <w:bottom w:val="single" w:sz="4" w:space="0" w:color="000000"/>
            </w:tcBorders>
            <w:vAlign w:val="center"/>
          </w:tcPr>
          <w:p>
            <w:pPr>
              <w:pStyle w:val="TableContents"/>
              <w:rPr/>
            </w:pPr>
            <w:r>
              <w:rPr/>
              <w:t>16(1)(b)</w:t>
            </w:r>
          </w:p>
        </w:tc>
        <w:tc>
          <w:tcPr>
            <w:tcW w:w="1597" w:type="dxa"/>
            <w:tcBorders>
              <w:start w:val="single" w:sz="4" w:space="0" w:color="000000"/>
              <w:bottom w:val="single" w:sz="4" w:space="0" w:color="000000"/>
            </w:tcBorders>
            <w:vAlign w:val="center"/>
          </w:tcPr>
          <w:p>
            <w:pPr>
              <w:pStyle w:val="TableContents"/>
              <w:rPr/>
            </w:pPr>
            <w:r>
              <w:rPr/>
              <w:t>RERA/Cross-Verification</w:t>
            </w:r>
          </w:p>
        </w:tc>
        <w:tc>
          <w:tcPr>
            <w:tcW w:w="3921" w:type="dxa"/>
            <w:tcBorders>
              <w:start w:val="single" w:sz="4" w:space="0" w:color="000000"/>
              <w:bottom w:val="single" w:sz="4" w:space="0" w:color="000000"/>
            </w:tcBorders>
            <w:vAlign w:val="center"/>
          </w:tcPr>
          <w:p>
            <w:pPr>
              <w:pStyle w:val="TableContents"/>
              <w:rPr/>
            </w:pPr>
            <w:r>
              <w:rPr/>
              <w:t>Association to submit RERA documents - not mandated.</w:t>
            </w:r>
          </w:p>
        </w:tc>
        <w:tc>
          <w:tcPr>
            <w:tcW w:w="4546" w:type="dxa"/>
            <w:tcBorders>
              <w:start w:val="single" w:sz="4" w:space="0" w:color="000000"/>
              <w:bottom w:val="single" w:sz="4" w:space="0" w:color="000000"/>
            </w:tcBorders>
            <w:vAlign w:val="center"/>
          </w:tcPr>
          <w:p>
            <w:pPr>
              <w:pStyle w:val="TableContents"/>
              <w:rPr/>
            </w:pPr>
            <w:r>
              <w:rPr/>
              <w:t>Amend Section 16(b): hand over to association... all original documents... including a certified copy of all documents submitted to RERA, and any amendments thereto.</w:t>
            </w:r>
          </w:p>
        </w:tc>
        <w:tc>
          <w:tcPr>
            <w:tcW w:w="4402" w:type="dxa"/>
            <w:tcBorders>
              <w:start w:val="single" w:sz="4" w:space="0" w:color="000000"/>
              <w:bottom w:val="single" w:sz="4" w:space="0" w:color="000000"/>
              <w:end w:val="single" w:sz="4" w:space="0" w:color="000000"/>
            </w:tcBorders>
            <w:vAlign w:val="center"/>
          </w:tcPr>
          <w:p>
            <w:pPr>
              <w:pStyle w:val="TableContents"/>
              <w:rPr/>
            </w:pPr>
            <w:r>
              <w:rPr/>
              <w:t>Without RERA documents, CA cannot cross-verify.</w:t>
            </w:r>
          </w:p>
        </w:tc>
      </w:tr>
      <w:tr>
        <w:trPr>
          <w:cantSplit/>
        </w:trPr>
        <w:tc>
          <w:tcPr>
            <w:tcW w:w="481" w:type="dxa"/>
            <w:tcBorders>
              <w:start w:val="single" w:sz="4" w:space="0" w:color="000000"/>
              <w:bottom w:val="single" w:sz="4" w:space="0" w:color="000000"/>
            </w:tcBorders>
            <w:vAlign w:val="center"/>
          </w:tcPr>
          <w:p>
            <w:pPr>
              <w:pStyle w:val="TableContents"/>
              <w:rPr/>
            </w:pPr>
            <w:r>
              <w:rPr/>
              <w:t>67</w:t>
            </w:r>
          </w:p>
        </w:tc>
        <w:tc>
          <w:tcPr>
            <w:tcW w:w="985" w:type="dxa"/>
            <w:tcBorders>
              <w:start w:val="single" w:sz="4" w:space="0" w:color="000000"/>
              <w:bottom w:val="single" w:sz="4" w:space="0" w:color="000000"/>
            </w:tcBorders>
            <w:vAlign w:val="center"/>
          </w:tcPr>
          <w:p>
            <w:pPr>
              <w:pStyle w:val="TableContents"/>
              <w:rPr/>
            </w:pPr>
            <w:r>
              <w:rPr/>
              <w:t>16(1)(d)</w:t>
            </w:r>
          </w:p>
        </w:tc>
        <w:tc>
          <w:tcPr>
            <w:tcW w:w="1597" w:type="dxa"/>
            <w:tcBorders>
              <w:start w:val="single" w:sz="4" w:space="0" w:color="000000"/>
              <w:bottom w:val="single" w:sz="4" w:space="0" w:color="000000"/>
            </w:tcBorders>
            <w:vAlign w:val="center"/>
          </w:tcPr>
          <w:p>
            <w:pPr>
              <w:pStyle w:val="TableContents"/>
              <w:rPr/>
            </w:pPr>
            <w:r>
              <w:rPr/>
              <w:t>Financial</w:t>
            </w:r>
          </w:p>
        </w:tc>
        <w:tc>
          <w:tcPr>
            <w:tcW w:w="3921" w:type="dxa"/>
            <w:tcBorders>
              <w:start w:val="single" w:sz="4" w:space="0" w:color="000000"/>
              <w:bottom w:val="single" w:sz="4" w:space="0" w:color="000000"/>
            </w:tcBorders>
            <w:vAlign w:val="center"/>
          </w:tcPr>
          <w:p>
            <w:pPr>
              <w:pStyle w:val="TableContents"/>
              <w:rPr/>
            </w:pPr>
            <w:r>
              <w:rPr/>
              <w:t>"such other information and documents...as may be prescribed" - vague.</w:t>
            </w:r>
          </w:p>
        </w:tc>
        <w:tc>
          <w:tcPr>
            <w:tcW w:w="4546" w:type="dxa"/>
            <w:tcBorders>
              <w:start w:val="single" w:sz="4" w:space="0" w:color="000000"/>
              <w:bottom w:val="single" w:sz="4" w:space="0" w:color="000000"/>
            </w:tcBorders>
            <w:vAlign w:val="center"/>
          </w:tcPr>
          <w:p>
            <w:pPr>
              <w:pStyle w:val="TableContents"/>
              <w:rPr/>
            </w:pPr>
            <w:r>
              <w:rPr/>
              <w:t>Should reference specific sections.</w:t>
            </w:r>
          </w:p>
        </w:tc>
        <w:tc>
          <w:tcPr>
            <w:tcW w:w="4402" w:type="dxa"/>
            <w:tcBorders>
              <w:start w:val="single" w:sz="4" w:space="0" w:color="000000"/>
              <w:bottom w:val="single" w:sz="4" w:space="0" w:color="000000"/>
              <w:end w:val="single" w:sz="4" w:space="0" w:color="000000"/>
            </w:tcBorders>
            <w:vAlign w:val="center"/>
          </w:tcPr>
          <w:p>
            <w:pPr>
              <w:pStyle w:val="TableContents"/>
              <w:rPr/>
            </w:pPr>
            <w:r>
              <w:rPr/>
              <w:t>This is a placeholder; specific references needed.</w:t>
            </w:r>
          </w:p>
        </w:tc>
      </w:tr>
      <w:tr>
        <w:trPr>
          <w:cantSplit/>
        </w:trPr>
        <w:tc>
          <w:tcPr>
            <w:tcW w:w="481" w:type="dxa"/>
            <w:tcBorders>
              <w:start w:val="single" w:sz="4" w:space="0" w:color="000000"/>
              <w:bottom w:val="single" w:sz="4" w:space="0" w:color="000000"/>
            </w:tcBorders>
            <w:vAlign w:val="center"/>
          </w:tcPr>
          <w:p>
            <w:pPr>
              <w:pStyle w:val="TableContents"/>
              <w:rPr/>
            </w:pPr>
            <w:r>
              <w:rPr/>
              <w:t>68</w:t>
            </w:r>
          </w:p>
        </w:tc>
        <w:tc>
          <w:tcPr>
            <w:tcW w:w="985" w:type="dxa"/>
            <w:tcBorders>
              <w:start w:val="single" w:sz="4" w:space="0" w:color="000000"/>
              <w:bottom w:val="single" w:sz="4" w:space="0" w:color="000000"/>
            </w:tcBorders>
            <w:vAlign w:val="center"/>
          </w:tcPr>
          <w:p>
            <w:pPr>
              <w:pStyle w:val="TableContents"/>
              <w:rPr/>
            </w:pPr>
            <w:r>
              <w:rPr/>
              <w:t>18(b)</w:t>
            </w:r>
          </w:p>
        </w:tc>
        <w:tc>
          <w:tcPr>
            <w:tcW w:w="1597" w:type="dxa"/>
            <w:tcBorders>
              <w:start w:val="single" w:sz="4" w:space="0" w:color="000000"/>
              <w:bottom w:val="single" w:sz="4" w:space="0" w:color="000000"/>
            </w:tcBorders>
            <w:vAlign w:val="center"/>
          </w:tcPr>
          <w:p>
            <w:pPr>
              <w:pStyle w:val="TableContents"/>
              <w:rPr/>
            </w:pPr>
            <w:r>
              <w:rPr/>
              <w:t>Commercial/Quality of Life</w:t>
            </w:r>
          </w:p>
        </w:tc>
        <w:tc>
          <w:tcPr>
            <w:tcW w:w="3921" w:type="dxa"/>
            <w:tcBorders>
              <w:start w:val="single" w:sz="4" w:space="0" w:color="000000"/>
              <w:bottom w:val="single" w:sz="4" w:space="0" w:color="000000"/>
            </w:tcBorders>
            <w:vAlign w:val="center"/>
          </w:tcPr>
          <w:p>
            <w:pPr>
              <w:pStyle w:val="TableContents"/>
              <w:rPr/>
            </w:pPr>
            <w:r>
              <w:rPr/>
              <w:t>"use the apartment and the common areas and facilities only for the purposes for which they are intended" - but since Section 2(b) defines "intended purpose" to already include commercial/institutional/other lawful purposes, this obligation does essentially no restrictive work.</w:t>
            </w:r>
          </w:p>
        </w:tc>
        <w:tc>
          <w:tcPr>
            <w:tcW w:w="4546" w:type="dxa"/>
            <w:tcBorders>
              <w:start w:val="single" w:sz="4" w:space="0" w:color="000000"/>
              <w:bottom w:val="single" w:sz="4" w:space="0" w:color="000000"/>
            </w:tcBorders>
            <w:vAlign w:val="center"/>
          </w:tcPr>
          <w:p>
            <w:pPr>
              <w:pStyle w:val="TableContents"/>
              <w:rPr/>
            </w:pPr>
            <w:r>
              <w:rPr/>
              <w:t>Amend to add: "No apartment owner shall change the use of an apartment from residential to commercial without the prior approval of the association (by 75% of all owners) and the Competent Authority."</w:t>
            </w:r>
          </w:p>
        </w:tc>
        <w:tc>
          <w:tcPr>
            <w:tcW w:w="4402" w:type="dxa"/>
            <w:tcBorders>
              <w:start w:val="single" w:sz="4" w:space="0" w:color="000000"/>
              <w:bottom w:val="single" w:sz="4" w:space="0" w:color="000000"/>
              <w:end w:val="single" w:sz="4" w:space="0" w:color="000000"/>
            </w:tcBorders>
            <w:vAlign w:val="center"/>
          </w:tcPr>
          <w:p>
            <w:pPr>
              <w:pStyle w:val="TableContents"/>
              <w:rPr/>
            </w:pPr>
            <w:r>
              <w:rPr/>
              <w:t>A godown operating 24/7 out of an apartment is arguably still using it for a purpose "for which it is intended" under Act's own definition. This is a loophole enabling conversion of flats to shops, godowns, etc.</w:t>
            </w:r>
          </w:p>
        </w:tc>
      </w:tr>
      <w:tr>
        <w:trPr>
          <w:cantSplit/>
        </w:trPr>
        <w:tc>
          <w:tcPr>
            <w:tcW w:w="481" w:type="dxa"/>
            <w:tcBorders>
              <w:start w:val="single" w:sz="4" w:space="0" w:color="000000"/>
              <w:bottom w:val="single" w:sz="4" w:space="0" w:color="000000"/>
            </w:tcBorders>
            <w:vAlign w:val="center"/>
          </w:tcPr>
          <w:p>
            <w:pPr>
              <w:pStyle w:val="TableContents"/>
              <w:rPr/>
            </w:pPr>
            <w:r>
              <w:rPr/>
              <w:t>69</w:t>
            </w:r>
          </w:p>
        </w:tc>
        <w:tc>
          <w:tcPr>
            <w:tcW w:w="985" w:type="dxa"/>
            <w:tcBorders>
              <w:start w:val="single" w:sz="4" w:space="0" w:color="000000"/>
              <w:bottom w:val="single" w:sz="4" w:space="0" w:color="000000"/>
            </w:tcBorders>
            <w:vAlign w:val="center"/>
          </w:tcPr>
          <w:p>
            <w:pPr>
              <w:pStyle w:val="TableContents"/>
              <w:rPr/>
            </w:pPr>
            <w:r>
              <w:rPr/>
              <w:t>18(f)</w:t>
            </w:r>
          </w:p>
        </w:tc>
        <w:tc>
          <w:tcPr>
            <w:tcW w:w="1597" w:type="dxa"/>
            <w:tcBorders>
              <w:start w:val="single" w:sz="4" w:space="0" w:color="000000"/>
              <w:bottom w:val="single" w:sz="4" w:space="0" w:color="000000"/>
            </w:tcBorders>
            <w:vAlign w:val="center"/>
          </w:tcPr>
          <w:p>
            <w:pPr>
              <w:pStyle w:val="TableContents"/>
              <w:rPr/>
            </w:pPr>
            <w:r>
              <w:rPr/>
              <w:t>Value Protection</w:t>
            </w:r>
          </w:p>
        </w:tc>
        <w:tc>
          <w:tcPr>
            <w:tcW w:w="3921" w:type="dxa"/>
            <w:tcBorders>
              <w:start w:val="single" w:sz="4" w:space="0" w:color="000000"/>
              <w:bottom w:val="single" w:sz="4" w:space="0" w:color="000000"/>
            </w:tcBorders>
            <w:vAlign w:val="center"/>
          </w:tcPr>
          <w:p>
            <w:pPr>
              <w:pStyle w:val="TableContents"/>
              <w:rPr/>
            </w:pPr>
            <w:r>
              <w:rPr/>
              <w:t>"not make any structural alteration...which may affect the structural stability, safety or external appearance" - removed the "reduce the value thereof" protection from KAOA Section 8.</w:t>
            </w:r>
          </w:p>
        </w:tc>
        <w:tc>
          <w:tcPr>
            <w:tcW w:w="4546" w:type="dxa"/>
            <w:tcBorders>
              <w:start w:val="single" w:sz="4" w:space="0" w:color="000000"/>
              <w:bottom w:val="single" w:sz="4" w:space="0" w:color="000000"/>
            </w:tcBorders>
            <w:vAlign w:val="center"/>
          </w:tcPr>
          <w:p>
            <w:pPr>
              <w:pStyle w:val="TableContents"/>
              <w:rPr/>
            </w:pPr>
            <w:r>
              <w:rPr/>
              <w:t>Reinstate: "not make any structural alteration, addition or modification to the apartment or any part of the building which may affect the structural stability, safety or external appearance, or reduce the value thereof"</w:t>
            </w:r>
          </w:p>
        </w:tc>
        <w:tc>
          <w:tcPr>
            <w:tcW w:w="4402" w:type="dxa"/>
            <w:tcBorders>
              <w:start w:val="single" w:sz="4" w:space="0" w:color="000000"/>
              <w:bottom w:val="single" w:sz="4" w:space="0" w:color="000000"/>
              <w:end w:val="single" w:sz="4" w:space="0" w:color="000000"/>
            </w:tcBorders>
            <w:vAlign w:val="center"/>
          </w:tcPr>
          <w:p>
            <w:pPr>
              <w:pStyle w:val="TableContents"/>
              <w:rPr/>
            </w:pPr>
            <w:r>
              <w:rPr/>
              <w:t>Commercial activity that lowers property values but doesn't touch structural stability falls outside KAOMA's prohibition. This is a direct degradation of homeowner protection.</w:t>
            </w:r>
          </w:p>
        </w:tc>
      </w:tr>
      <w:tr>
        <w:trPr>
          <w:cantSplit/>
        </w:trPr>
        <w:tc>
          <w:tcPr>
            <w:tcW w:w="481" w:type="dxa"/>
            <w:tcBorders>
              <w:start w:val="single" w:sz="4" w:space="0" w:color="000000"/>
              <w:bottom w:val="single" w:sz="4" w:space="0" w:color="000000"/>
            </w:tcBorders>
            <w:vAlign w:val="center"/>
          </w:tcPr>
          <w:p>
            <w:pPr>
              <w:pStyle w:val="TableContents"/>
              <w:rPr/>
            </w:pPr>
            <w:r>
              <w:rPr/>
              <w:t>70</w:t>
            </w:r>
          </w:p>
        </w:tc>
        <w:tc>
          <w:tcPr>
            <w:tcW w:w="985" w:type="dxa"/>
            <w:tcBorders>
              <w:start w:val="single" w:sz="4" w:space="0" w:color="000000"/>
              <w:bottom w:val="single" w:sz="4" w:space="0" w:color="000000"/>
            </w:tcBorders>
            <w:vAlign w:val="center"/>
          </w:tcPr>
          <w:p>
            <w:pPr>
              <w:pStyle w:val="TableContents"/>
              <w:rPr/>
            </w:pPr>
            <w:r>
              <w:rPr/>
              <w:t>18(f)</w:t>
            </w:r>
          </w:p>
        </w:tc>
        <w:tc>
          <w:tcPr>
            <w:tcW w:w="1597" w:type="dxa"/>
            <w:tcBorders>
              <w:start w:val="single" w:sz="4" w:space="0" w:color="000000"/>
              <w:bottom w:val="single" w:sz="4" w:space="0" w:color="000000"/>
            </w:tcBorders>
            <w:vAlign w:val="center"/>
          </w:tcPr>
          <w:p>
            <w:pPr>
              <w:pStyle w:val="TableContents"/>
              <w:rPr/>
            </w:pPr>
            <w:r>
              <w:rPr/>
              <w:t>Structural/Governance</w:t>
            </w:r>
          </w:p>
        </w:tc>
        <w:tc>
          <w:tcPr>
            <w:tcW w:w="3921" w:type="dxa"/>
            <w:tcBorders>
              <w:start w:val="single" w:sz="4" w:space="0" w:color="000000"/>
              <w:bottom w:val="single" w:sz="4" w:space="0" w:color="000000"/>
            </w:tcBorders>
            <w:vAlign w:val="center"/>
          </w:tcPr>
          <w:p>
            <w:pPr>
              <w:pStyle w:val="TableContents"/>
              <w:rPr/>
            </w:pPr>
            <w:r>
              <w:rPr/>
              <w:t>Alteration of internal structure is allowed without any plans, expert certificate, or prior approval.</w:t>
            </w:r>
          </w:p>
        </w:tc>
        <w:tc>
          <w:tcPr>
            <w:tcW w:w="4546" w:type="dxa"/>
            <w:tcBorders>
              <w:start w:val="single" w:sz="4" w:space="0" w:color="000000"/>
              <w:bottom w:val="single" w:sz="4" w:space="0" w:color="000000"/>
            </w:tcBorders>
            <w:vAlign w:val="center"/>
          </w:tcPr>
          <w:p>
            <w:pPr>
              <w:pStyle w:val="TableContents"/>
              <w:rPr/>
            </w:pPr>
            <w:r>
              <w:rPr/>
              <w:t>Require prior approval from Competent Authority and the association before any structural alteration.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Unregulated Alteration: Allowing owners to merge units without approval undermines sanctioned plan, building safety, and UDI calculations. Must be regulated.</w:t>
            </w:r>
          </w:p>
        </w:tc>
      </w:tr>
      <w:tr>
        <w:trPr>
          <w:cantSplit/>
        </w:trPr>
        <w:tc>
          <w:tcPr>
            <w:tcW w:w="481" w:type="dxa"/>
            <w:tcBorders>
              <w:start w:val="single" w:sz="4" w:space="0" w:color="000000"/>
              <w:bottom w:val="single" w:sz="4" w:space="0" w:color="000000"/>
            </w:tcBorders>
            <w:vAlign w:val="center"/>
          </w:tcPr>
          <w:p>
            <w:pPr>
              <w:pStyle w:val="TableContents"/>
              <w:rPr/>
            </w:pPr>
            <w:r>
              <w:rPr/>
              <w:t>71</w:t>
            </w:r>
          </w:p>
        </w:tc>
        <w:tc>
          <w:tcPr>
            <w:tcW w:w="985" w:type="dxa"/>
            <w:tcBorders>
              <w:start w:val="single" w:sz="4" w:space="0" w:color="000000"/>
              <w:bottom w:val="single" w:sz="4" w:space="0" w:color="000000"/>
            </w:tcBorders>
            <w:vAlign w:val="center"/>
          </w:tcPr>
          <w:p>
            <w:pPr>
              <w:pStyle w:val="TableContents"/>
              <w:rPr/>
            </w:pPr>
            <w:r>
              <w:rPr/>
              <w:t>18(p)</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"after due notice" - vague.</w:t>
            </w:r>
          </w:p>
        </w:tc>
        <w:tc>
          <w:tcPr>
            <w:tcW w:w="4546" w:type="dxa"/>
            <w:tcBorders>
              <w:start w:val="single" w:sz="4" w:space="0" w:color="000000"/>
              <w:bottom w:val="single" w:sz="4" w:space="0" w:color="000000"/>
            </w:tcBorders>
            <w:vAlign w:val="center"/>
          </w:tcPr>
          <w:p>
            <w:pPr>
              <w:pStyle w:val="TableContents"/>
              <w:rPr/>
            </w:pPr>
            <w:r>
              <w:rPr/>
              <w:t>"after giving not less than 48 hours' notice"</w:t>
            </w:r>
          </w:p>
        </w:tc>
        <w:tc>
          <w:tcPr>
            <w:tcW w:w="4402" w:type="dxa"/>
            <w:tcBorders>
              <w:start w:val="single" w:sz="4" w:space="0" w:color="000000"/>
              <w:bottom w:val="single" w:sz="4" w:space="0" w:color="000000"/>
              <w:end w:val="single" w:sz="4" w:space="0" w:color="000000"/>
            </w:tcBorders>
            <w:vAlign w:val="center"/>
          </w:tcPr>
          <w:p>
            <w:pPr>
              <w:pStyle w:val="TableContents"/>
              <w:rPr/>
            </w:pPr>
            <w:r>
              <w:rPr/>
              <w:t>"Due" is not defined; needs specificity.</w:t>
            </w:r>
          </w:p>
        </w:tc>
      </w:tr>
      <w:tr>
        <w:trPr>
          <w:cantSplit/>
        </w:trPr>
        <w:tc>
          <w:tcPr>
            <w:tcW w:w="481" w:type="dxa"/>
            <w:tcBorders>
              <w:start w:val="single" w:sz="4" w:space="0" w:color="000000"/>
              <w:bottom w:val="single" w:sz="4" w:space="0" w:color="000000"/>
            </w:tcBorders>
            <w:vAlign w:val="center"/>
          </w:tcPr>
          <w:p>
            <w:pPr>
              <w:pStyle w:val="TableContents"/>
              <w:rPr/>
            </w:pPr>
            <w:r>
              <w:rPr/>
              <w:t>72</w:t>
            </w:r>
          </w:p>
        </w:tc>
        <w:tc>
          <w:tcPr>
            <w:tcW w:w="985" w:type="dxa"/>
            <w:tcBorders>
              <w:start w:val="single" w:sz="4" w:space="0" w:color="000000"/>
              <w:bottom w:val="single" w:sz="4" w:space="0" w:color="000000"/>
            </w:tcBorders>
            <w:vAlign w:val="center"/>
          </w:tcPr>
          <w:p>
            <w:pPr>
              <w:pStyle w:val="TableContents"/>
              <w:rPr/>
            </w:pPr>
            <w:r>
              <w:rPr/>
              <w:t>20(2)</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"within three months from the date on which a majority of the apartments...have been allotted" - "allotted" is ambiguous.</w:t>
            </w:r>
          </w:p>
        </w:tc>
        <w:tc>
          <w:tcPr>
            <w:tcW w:w="4546" w:type="dxa"/>
            <w:tcBorders>
              <w:start w:val="single" w:sz="4" w:space="0" w:color="000000"/>
              <w:bottom w:val="single" w:sz="4" w:space="0" w:color="000000"/>
            </w:tcBorders>
            <w:vAlign w:val="center"/>
          </w:tcPr>
          <w:p>
            <w:pPr>
              <w:pStyle w:val="TableContents"/>
              <w:rPr/>
            </w:pPr>
            <w:r>
              <w:rPr/>
              <w:t>"within three months from the date on which more than 50% of the total apartments in the project have been conveyed"</w:t>
            </w:r>
          </w:p>
        </w:tc>
        <w:tc>
          <w:tcPr>
            <w:tcW w:w="4402" w:type="dxa"/>
            <w:tcBorders>
              <w:start w:val="single" w:sz="4" w:space="0" w:color="000000"/>
              <w:bottom w:val="single" w:sz="4" w:space="0" w:color="000000"/>
              <w:end w:val="single" w:sz="4" w:space="0" w:color="000000"/>
            </w:tcBorders>
            <w:vAlign w:val="center"/>
          </w:tcPr>
          <w:p>
            <w:pPr>
              <w:pStyle w:val="TableContents"/>
              <w:rPr/>
            </w:pPr>
            <w:r>
              <w:rPr/>
              <w:t>"Allotted" is ambiguous; should use "conveyed" or "occupied".</w:t>
            </w:r>
          </w:p>
        </w:tc>
      </w:tr>
      <w:tr>
        <w:trPr>
          <w:cantSplit/>
        </w:trPr>
        <w:tc>
          <w:tcPr>
            <w:tcW w:w="481" w:type="dxa"/>
            <w:tcBorders>
              <w:start w:val="single" w:sz="4" w:space="0" w:color="000000"/>
              <w:bottom w:val="single" w:sz="4" w:space="0" w:color="000000"/>
            </w:tcBorders>
            <w:vAlign w:val="center"/>
          </w:tcPr>
          <w:p>
            <w:pPr>
              <w:pStyle w:val="TableContents"/>
              <w:rPr/>
            </w:pPr>
            <w:r>
              <w:rPr/>
              <w:t>73</w:t>
            </w:r>
          </w:p>
        </w:tc>
        <w:tc>
          <w:tcPr>
            <w:tcW w:w="985" w:type="dxa"/>
            <w:tcBorders>
              <w:start w:val="single" w:sz="4" w:space="0" w:color="000000"/>
              <w:bottom w:val="single" w:sz="4" w:space="0" w:color="000000"/>
            </w:tcBorders>
            <w:vAlign w:val="center"/>
          </w:tcPr>
          <w:p>
            <w:pPr>
              <w:pStyle w:val="TableContents"/>
              <w:rPr/>
            </w:pPr>
            <w:r>
              <w:rPr/>
              <w:t>20(10)</w:t>
            </w:r>
          </w:p>
        </w:tc>
        <w:tc>
          <w:tcPr>
            <w:tcW w:w="1597" w:type="dxa"/>
            <w:tcBorders>
              <w:start w:val="single" w:sz="4" w:space="0" w:color="000000"/>
              <w:bottom w:val="single" w:sz="4" w:space="0" w:color="000000"/>
            </w:tcBorders>
            <w:vAlign w:val="center"/>
          </w:tcPr>
          <w:p>
            <w:pPr>
              <w:pStyle w:val="TableContents"/>
              <w:rPr/>
            </w:pPr>
            <w:r>
              <w:rPr/>
              <w:t>Financial</w:t>
            </w:r>
          </w:p>
        </w:tc>
        <w:tc>
          <w:tcPr>
            <w:tcW w:w="3921" w:type="dxa"/>
            <w:tcBorders>
              <w:start w:val="single" w:sz="4" w:space="0" w:color="000000"/>
              <w:bottom w:val="single" w:sz="4" w:space="0" w:color="000000"/>
            </w:tcBorders>
            <w:vAlign w:val="center"/>
          </w:tcPr>
          <w:p>
            <w:pPr>
              <w:pStyle w:val="TableContents"/>
              <w:rPr/>
            </w:pPr>
            <w:r>
              <w:rPr/>
              <w:t>"restrict the use of such non-essential common facilities and services as may be specified in the bye-laws" - vague. Different complexes will have different lists.</w:t>
            </w:r>
          </w:p>
        </w:tc>
        <w:tc>
          <w:tcPr>
            <w:tcW w:w="4546" w:type="dxa"/>
            <w:tcBorders>
              <w:start w:val="single" w:sz="4" w:space="0" w:color="000000"/>
              <w:bottom w:val="single" w:sz="4" w:space="0" w:color="000000"/>
            </w:tcBorders>
            <w:vAlign w:val="center"/>
          </w:tcPr>
          <w:p>
            <w:pPr>
              <w:pStyle w:val="TableContents"/>
              <w:rPr/>
            </w:pPr>
            <w:r>
              <w:rPr/>
              <w:t>Provide clear, exhaustive list of services that can and cannot be interrupted in the Act itself.</w:t>
            </w:r>
          </w:p>
        </w:tc>
        <w:tc>
          <w:tcPr>
            <w:tcW w:w="4402" w:type="dxa"/>
            <w:tcBorders>
              <w:start w:val="single" w:sz="4" w:space="0" w:color="000000"/>
              <w:bottom w:val="single" w:sz="4" w:space="0" w:color="000000"/>
              <w:end w:val="single" w:sz="4" w:space="0" w:color="000000"/>
            </w:tcBorders>
            <w:vAlign w:val="center"/>
          </w:tcPr>
          <w:p>
            <w:pPr>
              <w:pStyle w:val="TableContents"/>
              <w:rPr/>
            </w:pPr>
            <w:r>
              <w:rPr/>
              <w:t>Without clear list, association could define any service as "non-essential" and cut it off. Essential services could be interrupted. Creates inconsistency and unfairness across complexes.</w:t>
            </w:r>
          </w:p>
        </w:tc>
      </w:tr>
      <w:tr>
        <w:trPr>
          <w:cantSplit/>
        </w:trPr>
        <w:tc>
          <w:tcPr>
            <w:tcW w:w="481" w:type="dxa"/>
            <w:tcBorders>
              <w:start w:val="single" w:sz="4" w:space="0" w:color="000000"/>
              <w:bottom w:val="single" w:sz="4" w:space="0" w:color="000000"/>
            </w:tcBorders>
            <w:vAlign w:val="center"/>
          </w:tcPr>
          <w:p>
            <w:pPr>
              <w:pStyle w:val="TableContents"/>
              <w:rPr/>
            </w:pPr>
            <w:r>
              <w:rPr/>
              <w:t>74</w:t>
            </w:r>
          </w:p>
        </w:tc>
        <w:tc>
          <w:tcPr>
            <w:tcW w:w="985" w:type="dxa"/>
            <w:tcBorders>
              <w:start w:val="single" w:sz="4" w:space="0" w:color="000000"/>
              <w:bottom w:val="single" w:sz="4" w:space="0" w:color="000000"/>
            </w:tcBorders>
            <w:vAlign w:val="center"/>
          </w:tcPr>
          <w:p>
            <w:pPr>
              <w:pStyle w:val="TableContents"/>
              <w:rPr/>
            </w:pPr>
            <w:r>
              <w:rPr/>
              <w:t>20(11)</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Uses "may" - permissive. CA can ignore applications.</w:t>
            </w:r>
          </w:p>
        </w:tc>
        <w:tc>
          <w:tcPr>
            <w:tcW w:w="4546" w:type="dxa"/>
            <w:tcBorders>
              <w:start w:val="single" w:sz="4" w:space="0" w:color="000000"/>
              <w:bottom w:val="single" w:sz="4" w:space="0" w:color="000000"/>
            </w:tcBorders>
            <w:vAlign w:val="center"/>
          </w:tcPr>
          <w:p>
            <w:pPr>
              <w:pStyle w:val="TableContents"/>
              <w:rPr/>
            </w:pPr>
            <w:r>
              <w:rPr/>
              <w:t>Change to "shall" and add: "If CA fails to pass orders within 60 days, application shall be deemed rejected, and applicant may appeal deemed rejection."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No penalty for CA inaction. If CA ignores application, no recourse except appeal (which requires an order to appeal against).</w:t>
            </w:r>
          </w:p>
        </w:tc>
      </w:tr>
      <w:tr>
        <w:trPr>
          <w:cantSplit/>
        </w:trPr>
        <w:tc>
          <w:tcPr>
            <w:tcW w:w="481" w:type="dxa"/>
            <w:tcBorders>
              <w:start w:val="single" w:sz="4" w:space="0" w:color="000000"/>
              <w:bottom w:val="single" w:sz="4" w:space="0" w:color="000000"/>
            </w:tcBorders>
            <w:vAlign w:val="center"/>
          </w:tcPr>
          <w:p>
            <w:pPr>
              <w:pStyle w:val="TableContents"/>
              <w:rPr/>
            </w:pPr>
            <w:r>
              <w:rPr/>
              <w:t>75</w:t>
            </w:r>
          </w:p>
        </w:tc>
        <w:tc>
          <w:tcPr>
            <w:tcW w:w="985" w:type="dxa"/>
            <w:tcBorders>
              <w:start w:val="single" w:sz="4" w:space="0" w:color="000000"/>
              <w:bottom w:val="single" w:sz="4" w:space="0" w:color="000000"/>
            </w:tcBorders>
            <w:vAlign w:val="center"/>
          </w:tcPr>
          <w:p>
            <w:pPr>
              <w:pStyle w:val="TableContents"/>
              <w:rPr/>
            </w:pPr>
            <w:r>
              <w:rPr/>
              <w:t>21(2)</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"The promoter shall facilitate formation...within three months" - but penalty provision for failure is weak.</w:t>
            </w:r>
          </w:p>
        </w:tc>
        <w:tc>
          <w:tcPr>
            <w:tcW w:w="4546" w:type="dxa"/>
            <w:tcBorders>
              <w:start w:val="single" w:sz="4" w:space="0" w:color="000000"/>
              <w:bottom w:val="single" w:sz="4" w:space="0" w:color="000000"/>
            </w:tcBorders>
            <w:vAlign w:val="center"/>
          </w:tcPr>
          <w:p>
            <w:pPr>
              <w:pStyle w:val="TableContents"/>
              <w:rPr/>
            </w:pPr>
            <w:r>
              <w:rPr/>
              <w:t>Add: "and if the promoter fails to do so, the competent authority may, on its own motion or on application, take steps to register the association and recover costs from the promoter"</w:t>
            </w:r>
          </w:p>
        </w:tc>
        <w:tc>
          <w:tcPr>
            <w:tcW w:w="4402" w:type="dxa"/>
            <w:tcBorders>
              <w:start w:val="single" w:sz="4" w:space="0" w:color="000000"/>
              <w:bottom w:val="single" w:sz="4" w:space="0" w:color="000000"/>
              <w:end w:val="single" w:sz="4" w:space="0" w:color="000000"/>
            </w:tcBorders>
            <w:vAlign w:val="center"/>
          </w:tcPr>
          <w:p>
            <w:pPr>
              <w:pStyle w:val="TableContents"/>
              <w:rPr/>
            </w:pPr>
            <w:r>
              <w:rPr/>
              <w:t>Without enforcement teeth, "shall" becomes advisory.</w:t>
            </w:r>
          </w:p>
        </w:tc>
      </w:tr>
      <w:tr>
        <w:trPr>
          <w:cantSplit/>
        </w:trPr>
        <w:tc>
          <w:tcPr>
            <w:tcW w:w="481" w:type="dxa"/>
            <w:tcBorders>
              <w:start w:val="single" w:sz="4" w:space="0" w:color="000000"/>
              <w:bottom w:val="single" w:sz="4" w:space="0" w:color="000000"/>
            </w:tcBorders>
            <w:vAlign w:val="center"/>
          </w:tcPr>
          <w:p>
            <w:pPr>
              <w:pStyle w:val="TableContents"/>
              <w:rPr/>
            </w:pPr>
            <w:r>
              <w:rPr/>
              <w:t>76</w:t>
            </w:r>
          </w:p>
        </w:tc>
        <w:tc>
          <w:tcPr>
            <w:tcW w:w="985" w:type="dxa"/>
            <w:tcBorders>
              <w:start w:val="single" w:sz="4" w:space="0" w:color="000000"/>
              <w:bottom w:val="single" w:sz="4" w:space="0" w:color="000000"/>
            </w:tcBorders>
            <w:vAlign w:val="center"/>
          </w:tcPr>
          <w:p>
            <w:pPr>
              <w:pStyle w:val="TableContents"/>
              <w:rPr/>
            </w:pPr>
            <w:r>
              <w:rPr/>
              <w:t>21(2)</w:t>
            </w:r>
          </w:p>
        </w:tc>
        <w:tc>
          <w:tcPr>
            <w:tcW w:w="1597" w:type="dxa"/>
            <w:tcBorders>
              <w:start w:val="single" w:sz="4" w:space="0" w:color="000000"/>
              <w:bottom w:val="single" w:sz="4" w:space="0" w:color="000000"/>
            </w:tcBorders>
            <w:vAlign w:val="center"/>
          </w:tcPr>
          <w:p>
            <w:pPr>
              <w:pStyle w:val="TableContents"/>
              <w:rPr/>
            </w:pPr>
            <w:r>
              <w:rPr/>
              <w:t>Procedural/Governance</w:t>
            </w:r>
          </w:p>
        </w:tc>
        <w:tc>
          <w:tcPr>
            <w:tcW w:w="3921" w:type="dxa"/>
            <w:tcBorders>
              <w:start w:val="single" w:sz="4" w:space="0" w:color="000000"/>
              <w:bottom w:val="single" w:sz="4" w:space="0" w:color="000000"/>
            </w:tcBorders>
            <w:vAlign w:val="center"/>
          </w:tcPr>
          <w:p>
            <w:pPr>
              <w:pStyle w:val="TableContents"/>
              <w:rPr/>
            </w:pPr>
            <w:r>
              <w:rPr/>
              <w:t>Unclear who will form the association when &gt;50% booking is completed.</w:t>
            </w:r>
          </w:p>
        </w:tc>
        <w:tc>
          <w:tcPr>
            <w:tcW w:w="4546" w:type="dxa"/>
            <w:tcBorders>
              <w:start w:val="single" w:sz="4" w:space="0" w:color="000000"/>
              <w:bottom w:val="single" w:sz="4" w:space="0" w:color="000000"/>
            </w:tcBorders>
            <w:vAlign w:val="center"/>
          </w:tcPr>
          <w:p>
            <w:pPr>
              <w:pStyle w:val="TableContents"/>
              <w:rPr/>
            </w:pPr>
            <w:r>
              <w:rPr/>
              <w:t>Define the RASI chart for this activity: Responsible, Accountable, Supporting, Informed.</w:t>
            </w:r>
          </w:p>
        </w:tc>
        <w:tc>
          <w:tcPr>
            <w:tcW w:w="4402" w:type="dxa"/>
            <w:tcBorders>
              <w:start w:val="single" w:sz="4" w:space="0" w:color="000000"/>
              <w:bottom w:val="single" w:sz="4" w:space="0" w:color="000000"/>
              <w:end w:val="single" w:sz="4" w:space="0" w:color="000000"/>
            </w:tcBorders>
            <w:vAlign w:val="center"/>
          </w:tcPr>
          <w:p>
            <w:pPr>
              <w:pStyle w:val="TableContents"/>
              <w:rPr/>
            </w:pPr>
            <w:r>
              <w:rPr/>
              <w:t>Without RASI definition, activity is orphaned. Both RERA and KAOMA use passive voice. Unclear whether builder drives this activity, or &gt;50% early allottees who are practically strangers to each other.</w:t>
            </w:r>
          </w:p>
        </w:tc>
      </w:tr>
      <w:tr>
        <w:trPr>
          <w:cantSplit/>
        </w:trPr>
        <w:tc>
          <w:tcPr>
            <w:tcW w:w="481" w:type="dxa"/>
            <w:tcBorders>
              <w:start w:val="single" w:sz="4" w:space="0" w:color="000000"/>
              <w:bottom w:val="single" w:sz="4" w:space="0" w:color="000000"/>
            </w:tcBorders>
            <w:vAlign w:val="center"/>
          </w:tcPr>
          <w:p>
            <w:pPr>
              <w:pStyle w:val="TableContents"/>
              <w:rPr/>
            </w:pPr>
            <w:r>
              <w:rPr/>
              <w:t>77</w:t>
            </w:r>
          </w:p>
        </w:tc>
        <w:tc>
          <w:tcPr>
            <w:tcW w:w="985" w:type="dxa"/>
            <w:tcBorders>
              <w:start w:val="single" w:sz="4" w:space="0" w:color="000000"/>
              <w:bottom w:val="single" w:sz="4" w:space="0" w:color="000000"/>
            </w:tcBorders>
            <w:vAlign w:val="center"/>
          </w:tcPr>
          <w:p>
            <w:pPr>
              <w:pStyle w:val="TableContents"/>
              <w:rPr/>
            </w:pPr>
            <w:r>
              <w:rPr/>
              <w:t>21(5)</w:t>
            </w:r>
          </w:p>
        </w:tc>
        <w:tc>
          <w:tcPr>
            <w:tcW w:w="1597" w:type="dxa"/>
            <w:tcBorders>
              <w:start w:val="single" w:sz="4" w:space="0" w:color="000000"/>
              <w:bottom w:val="single" w:sz="4" w:space="0" w:color="000000"/>
            </w:tcBorders>
            <w:vAlign w:val="center"/>
          </w:tcPr>
          <w:p>
            <w:pPr>
              <w:pStyle w:val="TableContents"/>
              <w:rPr/>
            </w:pPr>
            <w:r>
              <w:rPr/>
              <w:t>Governance</w:t>
            </w:r>
          </w:p>
        </w:tc>
        <w:tc>
          <w:tcPr>
            <w:tcW w:w="3921" w:type="dxa"/>
            <w:tcBorders>
              <w:start w:val="single" w:sz="4" w:space="0" w:color="000000"/>
              <w:bottom w:val="single" w:sz="4" w:space="0" w:color="000000"/>
            </w:tcBorders>
            <w:vAlign w:val="center"/>
          </w:tcPr>
          <w:p>
            <w:pPr>
              <w:pStyle w:val="TableContents"/>
              <w:rPr/>
            </w:pPr>
            <w:r>
              <w:rPr/>
              <w:t>Separate associations for phases - creates fragmentation and disputes over shared common areas.</w:t>
            </w:r>
          </w:p>
        </w:tc>
        <w:tc>
          <w:tcPr>
            <w:tcW w:w="4546" w:type="dxa"/>
            <w:tcBorders>
              <w:start w:val="single" w:sz="4" w:space="0" w:color="000000"/>
              <w:bottom w:val="single" w:sz="4" w:space="0" w:color="000000"/>
            </w:tcBorders>
            <w:vAlign w:val="center"/>
          </w:tcPr>
          <w:p>
            <w:pPr>
              <w:pStyle w:val="TableContents"/>
              <w:rPr/>
            </w:pPr>
            <w:r>
              <w:rPr/>
              <w:t>Require a single master association for all phases from the start. Alternatively, require mandatory federation of all phase associations with clear governance mechanisms.</w:t>
            </w:r>
          </w:p>
        </w:tc>
        <w:tc>
          <w:tcPr>
            <w:tcW w:w="4402" w:type="dxa"/>
            <w:tcBorders>
              <w:start w:val="single" w:sz="4" w:space="0" w:color="000000"/>
              <w:bottom w:val="single" w:sz="4" w:space="0" w:color="000000"/>
              <w:end w:val="single" w:sz="4" w:space="0" w:color="000000"/>
            </w:tcBorders>
            <w:vAlign w:val="center"/>
          </w:tcPr>
          <w:p>
            <w:pPr>
              <w:pStyle w:val="TableContents"/>
              <w:rPr/>
            </w:pPr>
            <w:r>
              <w:rPr/>
              <w:t>RERA allows phases; KAOMA must govern them. Shared common areas cause disputes about who pays for maintenance, who has access, who controls management. Federation formation is optional ("may" not "shall").</w:t>
            </w:r>
          </w:p>
        </w:tc>
      </w:tr>
      <w:tr>
        <w:trPr>
          <w:cantSplit/>
        </w:trPr>
        <w:tc>
          <w:tcPr>
            <w:tcW w:w="481" w:type="dxa"/>
            <w:tcBorders>
              <w:start w:val="single" w:sz="4" w:space="0" w:color="000000"/>
              <w:bottom w:val="single" w:sz="4" w:space="0" w:color="000000"/>
            </w:tcBorders>
            <w:vAlign w:val="center"/>
          </w:tcPr>
          <w:p>
            <w:pPr>
              <w:pStyle w:val="TableContents"/>
              <w:rPr/>
            </w:pPr>
            <w:r>
              <w:rPr/>
              <w:t>78</w:t>
            </w:r>
          </w:p>
        </w:tc>
        <w:tc>
          <w:tcPr>
            <w:tcW w:w="985" w:type="dxa"/>
            <w:tcBorders>
              <w:start w:val="single" w:sz="4" w:space="0" w:color="000000"/>
              <w:bottom w:val="single" w:sz="4" w:space="0" w:color="000000"/>
            </w:tcBorders>
            <w:vAlign w:val="center"/>
          </w:tcPr>
          <w:p>
            <w:pPr>
              <w:pStyle w:val="TableContents"/>
              <w:rPr/>
            </w:pPr>
            <w:r>
              <w:rPr/>
              <w:t>21(5)</w:t>
            </w:r>
          </w:p>
        </w:tc>
        <w:tc>
          <w:tcPr>
            <w:tcW w:w="1597" w:type="dxa"/>
            <w:tcBorders>
              <w:start w:val="single" w:sz="4" w:space="0" w:color="000000"/>
              <w:bottom w:val="single" w:sz="4" w:space="0" w:color="000000"/>
            </w:tcBorders>
            <w:vAlign w:val="center"/>
          </w:tcPr>
          <w:p>
            <w:pPr>
              <w:pStyle w:val="TableContents"/>
              <w:rPr/>
            </w:pPr>
            <w:r>
              <w:rPr/>
              <w:t>Governance</w:t>
            </w:r>
          </w:p>
        </w:tc>
        <w:tc>
          <w:tcPr>
            <w:tcW w:w="3921" w:type="dxa"/>
            <w:tcBorders>
              <w:start w:val="single" w:sz="4" w:space="0" w:color="000000"/>
              <w:bottom w:val="single" w:sz="4" w:space="0" w:color="000000"/>
            </w:tcBorders>
            <w:vAlign w:val="center"/>
          </w:tcPr>
          <w:p>
            <w:pPr>
              <w:pStyle w:val="TableContents"/>
              <w:rPr/>
            </w:pPr>
            <w:r>
              <w:rPr/>
              <w:t>Phased projects create federation complexities, disputes over common areas, logistical nightmares (public roads dividing parcels).</w:t>
            </w:r>
          </w:p>
        </w:tc>
        <w:tc>
          <w:tcPr>
            <w:tcW w:w="4546" w:type="dxa"/>
            <w:tcBorders>
              <w:start w:val="single" w:sz="4" w:space="0" w:color="000000"/>
              <w:bottom w:val="single" w:sz="4" w:space="0" w:color="000000"/>
            </w:tcBorders>
            <w:vAlign w:val="center"/>
          </w:tcPr>
          <w:p>
            <w:pPr>
              <w:pStyle w:val="TableContents"/>
              <w:rPr/>
            </w:pPr>
            <w:r>
              <w:rPr/>
              <w:t>Delete allowance for phased projects, or require each phase to be standalone project with independent common areas.</w:t>
            </w:r>
          </w:p>
        </w:tc>
        <w:tc>
          <w:tcPr>
            <w:tcW w:w="4402" w:type="dxa"/>
            <w:tcBorders>
              <w:start w:val="single" w:sz="4" w:space="0" w:color="000000"/>
              <w:bottom w:val="single" w:sz="4" w:space="0" w:color="000000"/>
              <w:end w:val="single" w:sz="4" w:space="0" w:color="000000"/>
            </w:tcBorders>
            <w:vAlign w:val="center"/>
          </w:tcPr>
          <w:p>
            <w:pPr>
              <w:pStyle w:val="TableContents"/>
              <w:rPr/>
            </w:pPr>
            <w:r>
              <w:rPr/>
              <w:t>Practical Impossibility: Phased projects create federation complexities, disputes over common areas, and logistical nightmares. Needs of phased development, townships, villas, plots are totally different; separate acts required.</w:t>
            </w:r>
          </w:p>
        </w:tc>
      </w:tr>
      <w:tr>
        <w:trPr>
          <w:cantSplit/>
        </w:trPr>
        <w:tc>
          <w:tcPr>
            <w:tcW w:w="481" w:type="dxa"/>
            <w:tcBorders>
              <w:start w:val="single" w:sz="4" w:space="0" w:color="000000"/>
              <w:bottom w:val="single" w:sz="4" w:space="0" w:color="000000"/>
            </w:tcBorders>
            <w:vAlign w:val="center"/>
          </w:tcPr>
          <w:p>
            <w:pPr>
              <w:pStyle w:val="TableContents"/>
              <w:rPr/>
            </w:pPr>
            <w:r>
              <w:rPr/>
              <w:t>79</w:t>
            </w:r>
          </w:p>
        </w:tc>
        <w:tc>
          <w:tcPr>
            <w:tcW w:w="985" w:type="dxa"/>
            <w:tcBorders>
              <w:start w:val="single" w:sz="4" w:space="0" w:color="000000"/>
              <w:bottom w:val="single" w:sz="4" w:space="0" w:color="000000"/>
            </w:tcBorders>
            <w:vAlign w:val="center"/>
          </w:tcPr>
          <w:p>
            <w:pPr>
              <w:pStyle w:val="TableContents"/>
              <w:rPr/>
            </w:pPr>
            <w:r>
              <w:rPr/>
              <w:t>21(5)</w:t>
            </w:r>
          </w:p>
        </w:tc>
        <w:tc>
          <w:tcPr>
            <w:tcW w:w="1597" w:type="dxa"/>
            <w:tcBorders>
              <w:start w:val="single" w:sz="4" w:space="0" w:color="000000"/>
              <w:bottom w:val="single" w:sz="4" w:space="0" w:color="000000"/>
            </w:tcBorders>
            <w:vAlign w:val="center"/>
          </w:tcPr>
          <w:p>
            <w:pPr>
              <w:pStyle w:val="TableContents"/>
              <w:rPr/>
            </w:pPr>
            <w:r>
              <w:rPr/>
              <w:t>Governance</w:t>
            </w:r>
          </w:p>
        </w:tc>
        <w:tc>
          <w:tcPr>
            <w:tcW w:w="3921" w:type="dxa"/>
            <w:tcBorders>
              <w:start w:val="single" w:sz="4" w:space="0" w:color="000000"/>
              <w:bottom w:val="single" w:sz="4" w:space="0" w:color="000000"/>
            </w:tcBorders>
            <w:vAlign w:val="center"/>
          </w:tcPr>
          <w:p>
            <w:pPr>
              <w:pStyle w:val="TableContents"/>
              <w:rPr/>
            </w:pPr>
            <w:r>
              <w:rPr/>
              <w:t>"separate associations may be formed in such manner as may be prescribed" - vague.</w:t>
            </w:r>
          </w:p>
        </w:tc>
        <w:tc>
          <w:tcPr>
            <w:tcW w:w="4546" w:type="dxa"/>
            <w:tcBorders>
              <w:start w:val="single" w:sz="4" w:space="0" w:color="000000"/>
              <w:bottom w:val="single" w:sz="4" w:space="0" w:color="000000"/>
            </w:tcBorders>
            <w:vAlign w:val="center"/>
          </w:tcPr>
          <w:p>
            <w:pPr>
              <w:pStyle w:val="TableContents"/>
              <w:rPr/>
            </w:pPr>
            <w:r>
              <w:rPr/>
              <w:t>"in accordance with rules made under section 62"</w:t>
            </w:r>
          </w:p>
        </w:tc>
        <w:tc>
          <w:tcPr>
            <w:tcW w:w="4402" w:type="dxa"/>
            <w:tcBorders>
              <w:start w:val="single" w:sz="4" w:space="0" w:color="000000"/>
              <w:bottom w:val="single" w:sz="4" w:space="0" w:color="000000"/>
              <w:end w:val="single" w:sz="4" w:space="0" w:color="000000"/>
            </w:tcBorders>
            <w:vAlign w:val="center"/>
          </w:tcPr>
          <w:p>
            <w:pPr>
              <w:pStyle w:val="TableContents"/>
              <w:rPr/>
            </w:pPr>
            <w:r>
              <w:rPr/>
              <w:t>Correct but could be more specific.</w:t>
            </w:r>
          </w:p>
        </w:tc>
      </w:tr>
      <w:tr>
        <w:trPr>
          <w:cantSplit/>
        </w:trPr>
        <w:tc>
          <w:tcPr>
            <w:tcW w:w="481" w:type="dxa"/>
            <w:tcBorders>
              <w:start w:val="single" w:sz="4" w:space="0" w:color="000000"/>
              <w:bottom w:val="single" w:sz="4" w:space="0" w:color="000000"/>
            </w:tcBorders>
            <w:vAlign w:val="center"/>
          </w:tcPr>
          <w:p>
            <w:pPr>
              <w:pStyle w:val="TableContents"/>
              <w:rPr/>
            </w:pPr>
            <w:r>
              <w:rPr/>
              <w:t>80</w:t>
            </w:r>
          </w:p>
        </w:tc>
        <w:tc>
          <w:tcPr>
            <w:tcW w:w="985" w:type="dxa"/>
            <w:tcBorders>
              <w:start w:val="single" w:sz="4" w:space="0" w:color="000000"/>
              <w:bottom w:val="single" w:sz="4" w:space="0" w:color="000000"/>
            </w:tcBorders>
            <w:vAlign w:val="center"/>
          </w:tcPr>
          <w:p>
            <w:pPr>
              <w:pStyle w:val="TableContents"/>
              <w:rPr/>
            </w:pPr>
            <w:r>
              <w:rPr/>
              <w:t>21(5)</w:t>
            </w:r>
          </w:p>
        </w:tc>
        <w:tc>
          <w:tcPr>
            <w:tcW w:w="1597" w:type="dxa"/>
            <w:tcBorders>
              <w:start w:val="single" w:sz="4" w:space="0" w:color="000000"/>
              <w:bottom w:val="single" w:sz="4" w:space="0" w:color="000000"/>
            </w:tcBorders>
            <w:vAlign w:val="center"/>
          </w:tcPr>
          <w:p>
            <w:pPr>
              <w:pStyle w:val="TableContents"/>
              <w:rPr/>
            </w:pPr>
            <w:r>
              <w:rPr/>
              <w:t>Governance/Mixed-Use</w:t>
            </w:r>
          </w:p>
        </w:tc>
        <w:tc>
          <w:tcPr>
            <w:tcW w:w="3921" w:type="dxa"/>
            <w:tcBorders>
              <w:start w:val="single" w:sz="4" w:space="0" w:color="000000"/>
              <w:bottom w:val="single" w:sz="4" w:space="0" w:color="000000"/>
            </w:tcBorders>
            <w:vAlign w:val="center"/>
          </w:tcPr>
          <w:p>
            <w:pPr>
              <w:pStyle w:val="TableContents"/>
              <w:rPr/>
            </w:pPr>
            <w:r>
              <w:rPr/>
              <w:t>"in the case of mixed-use developments...separate associations may be formed" - fragments residential and commercial owners.</w:t>
            </w:r>
          </w:p>
        </w:tc>
        <w:tc>
          <w:tcPr>
            <w:tcW w:w="4546" w:type="dxa"/>
            <w:tcBorders>
              <w:start w:val="single" w:sz="4" w:space="0" w:color="000000"/>
              <w:bottom w:val="single" w:sz="4" w:space="0" w:color="000000"/>
            </w:tcBorders>
            <w:vAlign w:val="center"/>
          </w:tcPr>
          <w:p>
            <w:pPr>
              <w:pStyle w:val="TableContents"/>
              <w:rPr/>
            </w:pPr>
            <w:r>
              <w:rPr/>
              <w:t>Mandate single association for the entire project. Residential and commercial owners must be in same association to maintain collective bargaining power.</w:t>
            </w:r>
          </w:p>
        </w:tc>
        <w:tc>
          <w:tcPr>
            <w:tcW w:w="4402" w:type="dxa"/>
            <w:tcBorders>
              <w:start w:val="single" w:sz="4" w:space="0" w:color="000000"/>
              <w:bottom w:val="single" w:sz="4" w:space="0" w:color="000000"/>
              <w:end w:val="single" w:sz="4" w:space="0" w:color="000000"/>
            </w:tcBorders>
            <w:vAlign w:val="center"/>
          </w:tcPr>
          <w:p>
            <w:pPr>
              <w:pStyle w:val="TableContents"/>
              <w:rPr/>
            </w:pPr>
            <w:r>
              <w:rPr/>
              <w:t>Fragmentation reduces residential owners' collective bargaining power to resist commercialization. Act provides no guidance on resolving conflicts between associations.</w:t>
            </w:r>
          </w:p>
        </w:tc>
      </w:tr>
      <w:tr>
        <w:trPr>
          <w:cantSplit/>
        </w:trPr>
        <w:tc>
          <w:tcPr>
            <w:tcW w:w="481" w:type="dxa"/>
            <w:tcBorders>
              <w:start w:val="single" w:sz="4" w:space="0" w:color="000000"/>
              <w:bottom w:val="single" w:sz="4" w:space="0" w:color="000000"/>
            </w:tcBorders>
            <w:vAlign w:val="center"/>
          </w:tcPr>
          <w:p>
            <w:pPr>
              <w:pStyle w:val="TableContents"/>
              <w:rPr/>
            </w:pPr>
            <w:r>
              <w:rPr/>
              <w:t>81</w:t>
            </w:r>
          </w:p>
        </w:tc>
        <w:tc>
          <w:tcPr>
            <w:tcW w:w="985" w:type="dxa"/>
            <w:tcBorders>
              <w:start w:val="single" w:sz="4" w:space="0" w:color="000000"/>
              <w:bottom w:val="single" w:sz="4" w:space="0" w:color="000000"/>
            </w:tcBorders>
            <w:vAlign w:val="center"/>
          </w:tcPr>
          <w:p>
            <w:pPr>
              <w:pStyle w:val="TableContents"/>
              <w:rPr/>
            </w:pPr>
            <w:r>
              <w:rPr/>
              <w:t>21(6)</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Provision for a common seal - archaic requirement.</w:t>
            </w:r>
          </w:p>
        </w:tc>
        <w:tc>
          <w:tcPr>
            <w:tcW w:w="4546" w:type="dxa"/>
            <w:tcBorders>
              <w:start w:val="single" w:sz="4" w:space="0" w:color="000000"/>
              <w:bottom w:val="single" w:sz="4" w:space="0" w:color="000000"/>
            </w:tcBorders>
            <w:vAlign w:val="center"/>
          </w:tcPr>
          <w:p>
            <w:pPr>
              <w:pStyle w:val="TableContents"/>
              <w:rPr/>
            </w:pPr>
            <w:r>
              <w:rPr/>
              <w:t>Remove this requirement.</w:t>
            </w:r>
          </w:p>
        </w:tc>
        <w:tc>
          <w:tcPr>
            <w:tcW w:w="4402" w:type="dxa"/>
            <w:tcBorders>
              <w:start w:val="single" w:sz="4" w:space="0" w:color="000000"/>
              <w:bottom w:val="single" w:sz="4" w:space="0" w:color="000000"/>
              <w:end w:val="single" w:sz="4" w:space="0" w:color="000000"/>
            </w:tcBorders>
            <w:vAlign w:val="center"/>
          </w:tcPr>
          <w:p>
            <w:pPr>
              <w:pStyle w:val="TableContents"/>
              <w:rPr/>
            </w:pPr>
            <w:r>
              <w:rPr/>
              <w:t>Seal is no longer needed in era of electronic transactions and digital documents. Even Companies Act has made this optional.</w:t>
            </w:r>
          </w:p>
        </w:tc>
      </w:tr>
      <w:tr>
        <w:trPr>
          <w:cantSplit/>
        </w:trPr>
        <w:tc>
          <w:tcPr>
            <w:tcW w:w="481" w:type="dxa"/>
            <w:tcBorders>
              <w:start w:val="single" w:sz="4" w:space="0" w:color="000000"/>
              <w:bottom w:val="single" w:sz="4" w:space="0" w:color="000000"/>
            </w:tcBorders>
            <w:vAlign w:val="center"/>
          </w:tcPr>
          <w:p>
            <w:pPr>
              <w:pStyle w:val="TableContents"/>
              <w:rPr/>
            </w:pPr>
            <w:r>
              <w:rPr/>
              <w:t>82</w:t>
            </w:r>
          </w:p>
        </w:tc>
        <w:tc>
          <w:tcPr>
            <w:tcW w:w="985" w:type="dxa"/>
            <w:tcBorders>
              <w:start w:val="single" w:sz="4" w:space="0" w:color="000000"/>
              <w:bottom w:val="single" w:sz="4" w:space="0" w:color="000000"/>
            </w:tcBorders>
            <w:vAlign w:val="center"/>
          </w:tcPr>
          <w:p>
            <w:pPr>
              <w:pStyle w:val="TableContents"/>
              <w:rPr/>
            </w:pPr>
            <w:r>
              <w:rPr/>
              <w:t>21(7)</w:t>
            </w:r>
          </w:p>
        </w:tc>
        <w:tc>
          <w:tcPr>
            <w:tcW w:w="1597" w:type="dxa"/>
            <w:tcBorders>
              <w:start w:val="single" w:sz="4" w:space="0" w:color="000000"/>
              <w:bottom w:val="single" w:sz="4" w:space="0" w:color="000000"/>
            </w:tcBorders>
            <w:vAlign w:val="center"/>
          </w:tcPr>
          <w:p>
            <w:pPr>
              <w:pStyle w:val="TableContents"/>
              <w:rPr/>
            </w:pPr>
            <w:r>
              <w:rPr/>
              <w:t>Governance/Voting</w:t>
            </w:r>
          </w:p>
        </w:tc>
        <w:tc>
          <w:tcPr>
            <w:tcW w:w="3921" w:type="dxa"/>
            <w:tcBorders>
              <w:start w:val="single" w:sz="4" w:space="0" w:color="000000"/>
              <w:bottom w:val="single" w:sz="4" w:space="0" w:color="000000"/>
            </w:tcBorders>
            <w:vAlign w:val="center"/>
          </w:tcPr>
          <w:p>
            <w:pPr>
              <w:pStyle w:val="TableContents"/>
              <w:rPr/>
            </w:pPr>
            <w:r>
              <w:rPr/>
              <w:t>"One person shall have one vote irrespective of the number of apartments" - creates perverse incentives.</w:t>
            </w:r>
          </w:p>
        </w:tc>
        <w:tc>
          <w:tcPr>
            <w:tcW w:w="4546" w:type="dxa"/>
            <w:tcBorders>
              <w:start w:val="single" w:sz="4" w:space="0" w:color="000000"/>
              <w:bottom w:val="single" w:sz="4" w:space="0" w:color="000000"/>
            </w:tcBorders>
            <w:vAlign w:val="center"/>
          </w:tcPr>
          <w:p>
            <w:pPr>
              <w:pStyle w:val="TableContents"/>
              <w:rPr/>
            </w:pPr>
            <w:r>
              <w:rPr/>
              <w:t>Substitute with proportional voting based on aggregate super built-up area (UDI) for financial decisions, while retaining one-vote-per-owner for routine matters.</w:t>
            </w:r>
          </w:p>
        </w:tc>
        <w:tc>
          <w:tcPr>
            <w:tcW w:w="4402" w:type="dxa"/>
            <w:tcBorders>
              <w:start w:val="single" w:sz="4" w:space="0" w:color="000000"/>
              <w:bottom w:val="single" w:sz="4" w:space="0" w:color="000000"/>
              <w:end w:val="single" w:sz="4" w:space="0" w:color="000000"/>
            </w:tcBorders>
            <w:vAlign w:val="center"/>
          </w:tcPr>
          <w:p>
            <w:pPr>
              <w:pStyle w:val="TableContents"/>
              <w:rPr/>
            </w:pPr>
            <w:r>
              <w:rPr/>
              <w:t>Perverse Incentives &amp; Illogical Democracy: Most critical need is redevelopment decisions. Owner of 10 apartments has 1 vote. If sells 9, those 9 buyers get 9 votes (massive increase). Joint owners get only 1 vote. Incoherent. Creates market incentive to split assets for voting power. Correct approach is UDI-based voting (plutocratic) or carefully designed hybrid.</w:t>
            </w:r>
          </w:p>
        </w:tc>
      </w:tr>
      <w:tr>
        <w:trPr>
          <w:cantSplit/>
        </w:trPr>
        <w:tc>
          <w:tcPr>
            <w:tcW w:w="481" w:type="dxa"/>
            <w:tcBorders>
              <w:start w:val="single" w:sz="4" w:space="0" w:color="000000"/>
              <w:bottom w:val="single" w:sz="4" w:space="0" w:color="000000"/>
            </w:tcBorders>
            <w:vAlign w:val="center"/>
          </w:tcPr>
          <w:p>
            <w:pPr>
              <w:pStyle w:val="TableContents"/>
              <w:rPr/>
            </w:pPr>
            <w:r>
              <w:rPr/>
              <w:t>83</w:t>
            </w:r>
          </w:p>
        </w:tc>
        <w:tc>
          <w:tcPr>
            <w:tcW w:w="985" w:type="dxa"/>
            <w:tcBorders>
              <w:start w:val="single" w:sz="4" w:space="0" w:color="000000"/>
              <w:bottom w:val="single" w:sz="4" w:space="0" w:color="000000"/>
            </w:tcBorders>
            <w:vAlign w:val="center"/>
          </w:tcPr>
          <w:p>
            <w:pPr>
              <w:pStyle w:val="TableContents"/>
              <w:rPr/>
            </w:pPr>
            <w:r>
              <w:rPr/>
              <w:t>21(7)</w:t>
            </w:r>
          </w:p>
        </w:tc>
        <w:tc>
          <w:tcPr>
            <w:tcW w:w="1597" w:type="dxa"/>
            <w:tcBorders>
              <w:start w:val="single" w:sz="4" w:space="0" w:color="000000"/>
              <w:bottom w:val="single" w:sz="4" w:space="0" w:color="000000"/>
            </w:tcBorders>
            <w:vAlign w:val="center"/>
          </w:tcPr>
          <w:p>
            <w:pPr>
              <w:pStyle w:val="TableContents"/>
              <w:rPr/>
            </w:pPr>
            <w:r>
              <w:rPr/>
              <w:t>Voting</w:t>
            </w:r>
          </w:p>
        </w:tc>
        <w:tc>
          <w:tcPr>
            <w:tcW w:w="3921" w:type="dxa"/>
            <w:tcBorders>
              <w:start w:val="single" w:sz="4" w:space="0" w:color="000000"/>
              <w:bottom w:val="single" w:sz="4" w:space="0" w:color="000000"/>
            </w:tcBorders>
            <w:vAlign w:val="center"/>
          </w:tcPr>
          <w:p>
            <w:pPr>
              <w:pStyle w:val="TableContents"/>
              <w:rPr/>
            </w:pPr>
            <w:r>
              <w:rPr/>
              <w:t>The voting rights of all old cases (KAOA-&gt;KAOMA transfer cases) are affected. Voting is a distinct idea that needs separate treatment.</w:t>
            </w:r>
          </w:p>
        </w:tc>
        <w:tc>
          <w:tcPr>
            <w:tcW w:w="4546" w:type="dxa"/>
            <w:tcBorders>
              <w:start w:val="single" w:sz="4" w:space="0" w:color="000000"/>
              <w:bottom w:val="single" w:sz="4" w:space="0" w:color="000000"/>
            </w:tcBorders>
            <w:vAlign w:val="center"/>
          </w:tcPr>
          <w:p>
            <w:pPr>
              <w:pStyle w:val="TableContents"/>
              <w:rPr/>
            </w:pPr>
            <w:r>
              <w:rPr/>
              <w:t>Make a separate point, as voting is a distinct idea. Hybrid model: Routine decisions - one vote per owner; Major financial decisions - weighted by UDI or require super-majority.</w:t>
            </w:r>
          </w:p>
        </w:tc>
        <w:tc>
          <w:tcPr>
            <w:tcW w:w="4402" w:type="dxa"/>
            <w:tcBorders>
              <w:start w:val="single" w:sz="4" w:space="0" w:color="000000"/>
              <w:bottom w:val="single" w:sz="4" w:space="0" w:color="000000"/>
              <w:end w:val="single" w:sz="4" w:space="0" w:color="000000"/>
            </w:tcBorders>
            <w:vAlign w:val="center"/>
          </w:tcPr>
          <w:p>
            <w:pPr>
              <w:pStyle w:val="TableContents"/>
              <w:rPr/>
            </w:pPr>
            <w:r>
              <w:rPr/>
              <w:t>While philosophically appealing for use rights of common areas, becomes problematic for financial decisions where burden falls disproportionately on larger owners.</w:t>
            </w:r>
          </w:p>
        </w:tc>
      </w:tr>
      <w:tr>
        <w:trPr>
          <w:cantSplit/>
        </w:trPr>
        <w:tc>
          <w:tcPr>
            <w:tcW w:w="481" w:type="dxa"/>
            <w:tcBorders>
              <w:start w:val="single" w:sz="4" w:space="0" w:color="000000"/>
              <w:bottom w:val="single" w:sz="4" w:space="0" w:color="000000"/>
            </w:tcBorders>
            <w:vAlign w:val="center"/>
          </w:tcPr>
          <w:p>
            <w:pPr>
              <w:pStyle w:val="TableContents"/>
              <w:rPr/>
            </w:pPr>
            <w:r>
              <w:rPr/>
              <w:t>84</w:t>
            </w:r>
          </w:p>
        </w:tc>
        <w:tc>
          <w:tcPr>
            <w:tcW w:w="985" w:type="dxa"/>
            <w:tcBorders>
              <w:start w:val="single" w:sz="4" w:space="0" w:color="000000"/>
              <w:bottom w:val="single" w:sz="4" w:space="0" w:color="000000"/>
            </w:tcBorders>
            <w:vAlign w:val="center"/>
          </w:tcPr>
          <w:p>
            <w:pPr>
              <w:pStyle w:val="TableContents"/>
              <w:rPr/>
            </w:pPr>
            <w:r>
              <w:rPr/>
              <w:t>21(11)</w:t>
            </w:r>
          </w:p>
        </w:tc>
        <w:tc>
          <w:tcPr>
            <w:tcW w:w="1597" w:type="dxa"/>
            <w:tcBorders>
              <w:start w:val="single" w:sz="4" w:space="0" w:color="000000"/>
              <w:bottom w:val="single" w:sz="4" w:space="0" w:color="000000"/>
            </w:tcBorders>
            <w:vAlign w:val="center"/>
          </w:tcPr>
          <w:p>
            <w:pPr>
              <w:pStyle w:val="TableContents"/>
              <w:rPr/>
            </w:pPr>
            <w:r>
              <w:rPr/>
              <w:t>Financial</w:t>
            </w:r>
          </w:p>
        </w:tc>
        <w:tc>
          <w:tcPr>
            <w:tcW w:w="3921" w:type="dxa"/>
            <w:tcBorders>
              <w:start w:val="single" w:sz="4" w:space="0" w:color="000000"/>
              <w:bottom w:val="single" w:sz="4" w:space="0" w:color="000000"/>
            </w:tcBorders>
            <w:vAlign w:val="center"/>
          </w:tcPr>
          <w:p>
            <w:pPr>
              <w:pStyle w:val="TableContents"/>
              <w:rPr/>
            </w:pPr>
            <w:r>
              <w:rPr/>
              <w:t>"all funds" - but doesn't explicitly list statutory deposits like BWSSB connections, CFE-CFO charges, or other utility deposits.</w:t>
            </w:r>
          </w:p>
        </w:tc>
        <w:tc>
          <w:tcPr>
            <w:tcW w:w="4546" w:type="dxa"/>
            <w:tcBorders>
              <w:start w:val="single" w:sz="4" w:space="0" w:color="000000"/>
              <w:bottom w:val="single" w:sz="4" w:space="0" w:color="000000"/>
            </w:tcBorders>
            <w:vAlign w:val="center"/>
          </w:tcPr>
          <w:p>
            <w:pPr>
              <w:pStyle w:val="TableContents"/>
              <w:rPr/>
            </w:pPr>
            <w:r>
              <w:rPr/>
              <w:t>Require separate accounting and handover of deposits for utilities (not just common area funds). List CFE+CFO explicitly.</w:t>
            </w:r>
          </w:p>
        </w:tc>
        <w:tc>
          <w:tcPr>
            <w:tcW w:w="4402" w:type="dxa"/>
            <w:tcBorders>
              <w:start w:val="single" w:sz="4" w:space="0" w:color="000000"/>
              <w:bottom w:val="single" w:sz="4" w:space="0" w:color="000000"/>
              <w:end w:val="single" w:sz="4" w:space="0" w:color="000000"/>
            </w:tcBorders>
            <w:vAlign w:val="center"/>
          </w:tcPr>
          <w:p>
            <w:pPr>
              <w:pStyle w:val="TableContents"/>
              <w:rPr/>
            </w:pPr>
            <w:r>
              <w:rPr/>
              <w:t>Missing Utility Deposits: Builders collect deposits for utilities like BWSSB, KSPCB. These are not just "common area funds" and must be separately accounted for and handed over. Lack of CFE and CFO is common complaint. Owners don't realize they're entitled to separate handover process.</w:t>
            </w:r>
          </w:p>
        </w:tc>
      </w:tr>
      <w:tr>
        <w:trPr>
          <w:cantSplit/>
        </w:trPr>
        <w:tc>
          <w:tcPr>
            <w:tcW w:w="481" w:type="dxa"/>
            <w:tcBorders>
              <w:start w:val="single" w:sz="4" w:space="0" w:color="000000"/>
              <w:bottom w:val="single" w:sz="4" w:space="0" w:color="000000"/>
            </w:tcBorders>
            <w:vAlign w:val="center"/>
          </w:tcPr>
          <w:p>
            <w:pPr>
              <w:pStyle w:val="TableContents"/>
              <w:rPr/>
            </w:pPr>
            <w:r>
              <w:rPr/>
              <w:t>85</w:t>
            </w:r>
          </w:p>
        </w:tc>
        <w:tc>
          <w:tcPr>
            <w:tcW w:w="985" w:type="dxa"/>
            <w:tcBorders>
              <w:start w:val="single" w:sz="4" w:space="0" w:color="000000"/>
              <w:bottom w:val="single" w:sz="4" w:space="0" w:color="000000"/>
            </w:tcBorders>
            <w:vAlign w:val="center"/>
          </w:tcPr>
          <w:p>
            <w:pPr>
              <w:pStyle w:val="TableContents"/>
              <w:rPr/>
            </w:pPr>
            <w:r>
              <w:rPr/>
              <w:t>22(1)</w:t>
            </w:r>
          </w:p>
        </w:tc>
        <w:tc>
          <w:tcPr>
            <w:tcW w:w="1597" w:type="dxa"/>
            <w:tcBorders>
              <w:start w:val="single" w:sz="4" w:space="0" w:color="000000"/>
              <w:bottom w:val="single" w:sz="4" w:space="0" w:color="000000"/>
            </w:tcBorders>
            <w:vAlign w:val="center"/>
          </w:tcPr>
          <w:p>
            <w:pPr>
              <w:pStyle w:val="TableContents"/>
              <w:rPr/>
            </w:pPr>
            <w:r>
              <w:rPr/>
              <w:t>Migration</w:t>
            </w:r>
          </w:p>
        </w:tc>
        <w:tc>
          <w:tcPr>
            <w:tcW w:w="3921" w:type="dxa"/>
            <w:tcBorders>
              <w:start w:val="single" w:sz="4" w:space="0" w:color="000000"/>
              <w:bottom w:val="single" w:sz="4" w:space="0" w:color="000000"/>
            </w:tcBorders>
            <w:vAlign w:val="center"/>
          </w:tcPr>
          <w:p>
            <w:pPr>
              <w:pStyle w:val="TableContents"/>
              <w:rPr/>
            </w:pPr>
            <w:r>
              <w:rPr/>
              <w:t>For existing projects, provision states application "shall be submitted" but doesn't specify responsible party - builder or owners.</w:t>
            </w:r>
          </w:p>
        </w:tc>
        <w:tc>
          <w:tcPr>
            <w:tcW w:w="4546" w:type="dxa"/>
            <w:tcBorders>
              <w:start w:val="single" w:sz="4" w:space="0" w:color="000000"/>
              <w:bottom w:val="single" w:sz="4" w:space="0" w:color="000000"/>
            </w:tcBorders>
            <w:vAlign w:val="center"/>
          </w:tcPr>
          <w:p>
            <w:pPr>
              <w:pStyle w:val="TableContents"/>
              <w:rPr/>
            </w:pPr>
            <w:r>
              <w:rPr/>
              <w:t>Clarify: "The promoter shall be primarily responsible for submission. Where the promoter fails to do so, the Competent Authority shall, on the application of not less than one-fourth of the apartment owners, initiate the registration process suo motu and issue a notice to the promoter for compliance within 30 days."</w:t>
            </w:r>
          </w:p>
        </w:tc>
        <w:tc>
          <w:tcPr>
            <w:tcW w:w="4402" w:type="dxa"/>
            <w:tcBorders>
              <w:start w:val="single" w:sz="4" w:space="0" w:color="000000"/>
              <w:bottom w:val="single" w:sz="4" w:space="0" w:color="000000"/>
              <w:end w:val="single" w:sz="4" w:space="0" w:color="000000"/>
            </w:tcBorders>
            <w:vAlign w:val="center"/>
          </w:tcPr>
          <w:p>
            <w:pPr>
              <w:pStyle w:val="TableContents"/>
              <w:rPr/>
            </w:pPr>
            <w:r>
              <w:rPr/>
              <w:t>Prevents Jurisdictional Paralysis: Without designated applicant, CA cannot initiate penalty proceedings under Sec. 54 for non-registration. If promoter refuses, disorganized owners cannot force CA to act.</w:t>
            </w:r>
          </w:p>
        </w:tc>
      </w:tr>
      <w:tr>
        <w:trPr>
          <w:cantSplit/>
        </w:trPr>
        <w:tc>
          <w:tcPr>
            <w:tcW w:w="481" w:type="dxa"/>
            <w:tcBorders>
              <w:start w:val="single" w:sz="4" w:space="0" w:color="000000"/>
              <w:bottom w:val="single" w:sz="4" w:space="0" w:color="000000"/>
            </w:tcBorders>
            <w:vAlign w:val="center"/>
          </w:tcPr>
          <w:p>
            <w:pPr>
              <w:pStyle w:val="TableContents"/>
              <w:rPr/>
            </w:pPr>
            <w:r>
              <w:rPr/>
              <w:t>86</w:t>
            </w:r>
          </w:p>
        </w:tc>
        <w:tc>
          <w:tcPr>
            <w:tcW w:w="985" w:type="dxa"/>
            <w:tcBorders>
              <w:start w:val="single" w:sz="4" w:space="0" w:color="000000"/>
              <w:bottom w:val="single" w:sz="4" w:space="0" w:color="000000"/>
            </w:tcBorders>
            <w:vAlign w:val="center"/>
          </w:tcPr>
          <w:p>
            <w:pPr>
              <w:pStyle w:val="TableContents"/>
              <w:rPr/>
            </w:pPr>
            <w:r>
              <w:rPr/>
              <w:t>22(7)</w:t>
            </w:r>
          </w:p>
        </w:tc>
        <w:tc>
          <w:tcPr>
            <w:tcW w:w="1597" w:type="dxa"/>
            <w:tcBorders>
              <w:start w:val="single" w:sz="4" w:space="0" w:color="000000"/>
              <w:bottom w:val="single" w:sz="4" w:space="0" w:color="000000"/>
            </w:tcBorders>
            <w:vAlign w:val="center"/>
          </w:tcPr>
          <w:p>
            <w:pPr>
              <w:pStyle w:val="TableContents"/>
              <w:rPr/>
            </w:pPr>
            <w:r>
              <w:rPr/>
              <w:t>Migration</w:t>
            </w:r>
          </w:p>
        </w:tc>
        <w:tc>
          <w:tcPr>
            <w:tcW w:w="3921" w:type="dxa"/>
            <w:tcBorders>
              <w:start w:val="single" w:sz="4" w:space="0" w:color="000000"/>
              <w:bottom w:val="single" w:sz="4" w:space="0" w:color="000000"/>
            </w:tcBorders>
            <w:vAlign w:val="center"/>
          </w:tcPr>
          <w:p>
            <w:pPr>
              <w:pStyle w:val="TableContents"/>
              <w:rPr/>
            </w:pPr>
            <w:r>
              <w:rPr/>
              <w:t>Associations under KAOA, KCSA, KSRA "deemed to be registered under KAOMA" - but no mechanism to harmonize conflicting structures and bye-laws.</w:t>
            </w:r>
          </w:p>
        </w:tc>
        <w:tc>
          <w:tcPr>
            <w:tcW w:w="4546" w:type="dxa"/>
            <w:tcBorders>
              <w:start w:val="single" w:sz="4" w:space="0" w:color="000000"/>
              <w:bottom w:val="single" w:sz="4" w:space="0" w:color="000000"/>
            </w:tcBorders>
            <w:vAlign w:val="center"/>
          </w:tcPr>
          <w:p>
            <w:pPr>
              <w:pStyle w:val="TableContents"/>
              <w:rPr/>
            </w:pPr>
            <w:r>
              <w:rPr/>
              <w:t>Explain how conflicting structures and bye-laws will be harmonized with KAOMA.</w:t>
            </w:r>
          </w:p>
        </w:tc>
        <w:tc>
          <w:tcPr>
            <w:tcW w:w="4402" w:type="dxa"/>
            <w:tcBorders>
              <w:start w:val="single" w:sz="4" w:space="0" w:color="000000"/>
              <w:bottom w:val="single" w:sz="4" w:space="0" w:color="000000"/>
              <w:end w:val="single" w:sz="4" w:space="0" w:color="000000"/>
            </w:tcBorders>
            <w:vAlign w:val="center"/>
          </w:tcPr>
          <w:p>
            <w:pPr>
              <w:pStyle w:val="TableContents"/>
              <w:rPr/>
            </w:pPr>
            <w:r>
              <w:rPr/>
              <w:t>Just "deemed" status is not enough. Structures and bye-laws need harmonization. Other acts have vastly different voting rights. UDI concept doesn't exist in KCSA and KSRA. Voting is democratic in KCSA/KSRA (one vote per member) but plutocratic in KAOA (UDI-based). Bye-laws are completely different.</w:t>
            </w:r>
          </w:p>
        </w:tc>
      </w:tr>
      <w:tr>
        <w:trPr>
          <w:cantSplit/>
        </w:trPr>
        <w:tc>
          <w:tcPr>
            <w:tcW w:w="481" w:type="dxa"/>
            <w:tcBorders>
              <w:start w:val="single" w:sz="4" w:space="0" w:color="000000"/>
              <w:bottom w:val="single" w:sz="4" w:space="0" w:color="000000"/>
            </w:tcBorders>
            <w:vAlign w:val="center"/>
          </w:tcPr>
          <w:p>
            <w:pPr>
              <w:pStyle w:val="TableContents"/>
              <w:rPr/>
            </w:pPr>
            <w:r>
              <w:rPr/>
              <w:t>87</w:t>
            </w:r>
          </w:p>
        </w:tc>
        <w:tc>
          <w:tcPr>
            <w:tcW w:w="985" w:type="dxa"/>
            <w:tcBorders>
              <w:start w:val="single" w:sz="4" w:space="0" w:color="000000"/>
              <w:bottom w:val="single" w:sz="4" w:space="0" w:color="000000"/>
            </w:tcBorders>
            <w:vAlign w:val="center"/>
          </w:tcPr>
          <w:p>
            <w:pPr>
              <w:pStyle w:val="TableContents"/>
              <w:rPr/>
            </w:pPr>
            <w:r>
              <w:rPr/>
              <w:t>22(8)</w:t>
            </w:r>
          </w:p>
        </w:tc>
        <w:tc>
          <w:tcPr>
            <w:tcW w:w="1597" w:type="dxa"/>
            <w:tcBorders>
              <w:start w:val="single" w:sz="4" w:space="0" w:color="000000"/>
              <w:bottom w:val="single" w:sz="4" w:space="0" w:color="000000"/>
            </w:tcBorders>
            <w:vAlign w:val="center"/>
          </w:tcPr>
          <w:p>
            <w:pPr>
              <w:pStyle w:val="TableContents"/>
              <w:rPr/>
            </w:pPr>
            <w:r>
              <w:rPr/>
              <w:t>Migration</w:t>
            </w:r>
          </w:p>
        </w:tc>
        <w:tc>
          <w:tcPr>
            <w:tcW w:w="3921" w:type="dxa"/>
            <w:tcBorders>
              <w:start w:val="single" w:sz="4" w:space="0" w:color="000000"/>
              <w:bottom w:val="single" w:sz="4" w:space="0" w:color="000000"/>
            </w:tcBorders>
            <w:vAlign w:val="center"/>
          </w:tcPr>
          <w:p>
            <w:pPr>
              <w:pStyle w:val="TableContents"/>
              <w:rPr/>
            </w:pPr>
            <w:r>
              <w:rPr/>
              <w:t>Six-month compliance period for migration - grossly insufficient given complexity.</w:t>
            </w:r>
          </w:p>
        </w:tc>
        <w:tc>
          <w:tcPr>
            <w:tcW w:w="4546" w:type="dxa"/>
            <w:tcBorders>
              <w:start w:val="single" w:sz="4" w:space="0" w:color="000000"/>
              <w:bottom w:val="single" w:sz="4" w:space="0" w:color="000000"/>
            </w:tcBorders>
            <w:vAlign w:val="center"/>
          </w:tcPr>
          <w:p>
            <w:pPr>
              <w:pStyle w:val="TableContents"/>
              <w:rPr/>
            </w:pPr>
            <w:r>
              <w:rPr/>
              <w:t>Provide extension mechanism.</w:t>
            </w:r>
          </w:p>
        </w:tc>
        <w:tc>
          <w:tcPr>
            <w:tcW w:w="4402" w:type="dxa"/>
            <w:tcBorders>
              <w:start w:val="single" w:sz="4" w:space="0" w:color="000000"/>
              <w:bottom w:val="single" w:sz="4" w:space="0" w:color="000000"/>
              <w:end w:val="single" w:sz="4" w:space="0" w:color="000000"/>
            </w:tcBorders>
            <w:vAlign w:val="center"/>
          </w:tcPr>
          <w:p>
            <w:pPr>
              <w:pStyle w:val="TableContents"/>
              <w:rPr/>
            </w:pPr>
            <w:r>
              <w:rPr/>
              <w:t>Given complexity of migration, 6 months is grossly insufficient. Associations will default. Act silent on consequences of non-compliance.</w:t>
            </w:r>
          </w:p>
        </w:tc>
      </w:tr>
      <w:tr>
        <w:trPr>
          <w:cantSplit/>
        </w:trPr>
        <w:tc>
          <w:tcPr>
            <w:tcW w:w="481" w:type="dxa"/>
            <w:tcBorders>
              <w:start w:val="single" w:sz="4" w:space="0" w:color="000000"/>
              <w:bottom w:val="single" w:sz="4" w:space="0" w:color="000000"/>
            </w:tcBorders>
            <w:vAlign w:val="center"/>
          </w:tcPr>
          <w:p>
            <w:pPr>
              <w:pStyle w:val="TableContents"/>
              <w:rPr/>
            </w:pPr>
            <w:r>
              <w:rPr/>
              <w:t>88</w:t>
            </w:r>
          </w:p>
        </w:tc>
        <w:tc>
          <w:tcPr>
            <w:tcW w:w="985" w:type="dxa"/>
            <w:tcBorders>
              <w:start w:val="single" w:sz="4" w:space="0" w:color="000000"/>
              <w:bottom w:val="single" w:sz="4" w:space="0" w:color="000000"/>
            </w:tcBorders>
            <w:vAlign w:val="center"/>
          </w:tcPr>
          <w:p>
            <w:pPr>
              <w:pStyle w:val="TableContents"/>
              <w:rPr/>
            </w:pPr>
            <w:r>
              <w:rPr/>
              <w:t>23(4)</w:t>
            </w:r>
          </w:p>
        </w:tc>
        <w:tc>
          <w:tcPr>
            <w:tcW w:w="1597" w:type="dxa"/>
            <w:tcBorders>
              <w:start w:val="single" w:sz="4" w:space="0" w:color="000000"/>
              <w:bottom w:val="single" w:sz="4" w:space="0" w:color="000000"/>
            </w:tcBorders>
            <w:vAlign w:val="center"/>
          </w:tcPr>
          <w:p>
            <w:pPr>
              <w:pStyle w:val="TableContents"/>
              <w:rPr/>
            </w:pPr>
            <w:r>
              <w:rPr/>
              <w:t>Governance</w:t>
            </w:r>
          </w:p>
        </w:tc>
        <w:tc>
          <w:tcPr>
            <w:tcW w:w="3921" w:type="dxa"/>
            <w:tcBorders>
              <w:start w:val="single" w:sz="4" w:space="0" w:color="000000"/>
              <w:bottom w:val="single" w:sz="4" w:space="0" w:color="000000"/>
            </w:tcBorders>
            <w:vAlign w:val="center"/>
          </w:tcPr>
          <w:p>
            <w:pPr>
              <w:pStyle w:val="TableContents"/>
              <w:rPr/>
            </w:pPr>
            <w:r>
              <w:rPr/>
              <w:t>Rigid two-term limit for Executive Committee members with no exception or CA extension power.</w:t>
            </w:r>
          </w:p>
        </w:tc>
        <w:tc>
          <w:tcPr>
            <w:tcW w:w="4546" w:type="dxa"/>
            <w:tcBorders>
              <w:start w:val="single" w:sz="4" w:space="0" w:color="000000"/>
              <w:bottom w:val="single" w:sz="4" w:space="0" w:color="000000"/>
            </w:tcBorders>
            <w:vAlign w:val="center"/>
          </w:tcPr>
          <w:p>
            <w:pPr>
              <w:pStyle w:val="TableContents"/>
              <w:rPr/>
            </w:pPr>
            <w:r>
              <w:rPr/>
              <w:t>Insert proviso: "Provided that the Competent Authority may, by a reasoned order, permit a member to serve a third term for a period not exceeding one year, where no other member is willing to contest and the association's stability is at risk."</w:t>
            </w:r>
          </w:p>
        </w:tc>
        <w:tc>
          <w:tcPr>
            <w:tcW w:w="4402" w:type="dxa"/>
            <w:tcBorders>
              <w:start w:val="single" w:sz="4" w:space="0" w:color="000000"/>
              <w:bottom w:val="single" w:sz="4" w:space="0" w:color="000000"/>
              <w:end w:val="single" w:sz="4" w:space="0" w:color="000000"/>
            </w:tcBorders>
            <w:vAlign w:val="center"/>
          </w:tcPr>
          <w:p>
            <w:pPr>
              <w:pStyle w:val="TableContents"/>
              <w:rPr/>
            </w:pPr>
            <w:r>
              <w:rPr/>
              <w:t>Administrative Vacuum: If competent manager completes two terms, CA is forced to supervise elections and appoint administrators, even if no one else contests. Extension power prevents governance collapse.</w:t>
            </w:r>
          </w:p>
        </w:tc>
      </w:tr>
      <w:tr>
        <w:trPr>
          <w:cantSplit/>
        </w:trPr>
        <w:tc>
          <w:tcPr>
            <w:tcW w:w="481" w:type="dxa"/>
            <w:tcBorders>
              <w:start w:val="single" w:sz="4" w:space="0" w:color="000000"/>
              <w:bottom w:val="single" w:sz="4" w:space="0" w:color="000000"/>
            </w:tcBorders>
            <w:vAlign w:val="center"/>
          </w:tcPr>
          <w:p>
            <w:pPr>
              <w:pStyle w:val="TableContents"/>
              <w:rPr/>
            </w:pPr>
            <w:r>
              <w:rPr/>
              <w:t>89</w:t>
            </w:r>
          </w:p>
        </w:tc>
        <w:tc>
          <w:tcPr>
            <w:tcW w:w="985" w:type="dxa"/>
            <w:tcBorders>
              <w:start w:val="single" w:sz="4" w:space="0" w:color="000000"/>
              <w:bottom w:val="single" w:sz="4" w:space="0" w:color="000000"/>
            </w:tcBorders>
            <w:vAlign w:val="center"/>
          </w:tcPr>
          <w:p>
            <w:pPr>
              <w:pStyle w:val="TableContents"/>
              <w:rPr/>
            </w:pPr>
            <w:r>
              <w:rPr/>
              <w:t>24(1)</w:t>
            </w:r>
          </w:p>
        </w:tc>
        <w:tc>
          <w:tcPr>
            <w:tcW w:w="1597" w:type="dxa"/>
            <w:tcBorders>
              <w:start w:val="single" w:sz="4" w:space="0" w:color="000000"/>
              <w:bottom w:val="single" w:sz="4" w:space="0" w:color="000000"/>
            </w:tcBorders>
            <w:vAlign w:val="center"/>
          </w:tcPr>
          <w:p>
            <w:pPr>
              <w:pStyle w:val="TableContents"/>
              <w:rPr/>
            </w:pPr>
            <w:r>
              <w:rPr/>
              <w:t>Governance</w:t>
            </w:r>
          </w:p>
        </w:tc>
        <w:tc>
          <w:tcPr>
            <w:tcW w:w="3921" w:type="dxa"/>
            <w:tcBorders>
              <w:start w:val="single" w:sz="4" w:space="0" w:color="000000"/>
              <w:bottom w:val="single" w:sz="4" w:space="0" w:color="000000"/>
            </w:tcBorders>
            <w:vAlign w:val="center"/>
          </w:tcPr>
          <w:p>
            <w:pPr>
              <w:pStyle w:val="TableContents"/>
              <w:rPr/>
            </w:pPr>
            <w:r>
              <w:rPr/>
              <w:t>"as may be provided in this Act, the rules made thereunder, the declaration and the bye-laws" - excessively vague.</w:t>
            </w:r>
          </w:p>
        </w:tc>
        <w:tc>
          <w:tcPr>
            <w:tcW w:w="4546" w:type="dxa"/>
            <w:tcBorders>
              <w:start w:val="single" w:sz="4" w:space="0" w:color="000000"/>
              <w:bottom w:val="single" w:sz="4" w:space="0" w:color="000000"/>
            </w:tcBorders>
            <w:vAlign w:val="center"/>
          </w:tcPr>
          <w:p>
            <w:pPr>
              <w:pStyle w:val="TableContents"/>
              <w:rPr/>
            </w:pPr>
            <w:r>
              <w:rPr/>
              <w:t>Should specify: "sections 26 to 31 of this Act"</w:t>
            </w:r>
          </w:p>
        </w:tc>
        <w:tc>
          <w:tcPr>
            <w:tcW w:w="4402" w:type="dxa"/>
            <w:tcBorders>
              <w:start w:val="single" w:sz="4" w:space="0" w:color="000000"/>
              <w:bottom w:val="single" w:sz="4" w:space="0" w:color="000000"/>
              <w:end w:val="single" w:sz="4" w:space="0" w:color="000000"/>
            </w:tcBorders>
            <w:vAlign w:val="center"/>
          </w:tcPr>
          <w:p>
            <w:pPr>
              <w:pStyle w:val="TableContents"/>
              <w:rPr/>
            </w:pPr>
            <w:r>
              <w:rPr/>
              <w:t>This is a placeholder; needs specific references.</w:t>
            </w:r>
          </w:p>
        </w:tc>
      </w:tr>
      <w:tr>
        <w:trPr>
          <w:cantSplit/>
        </w:trPr>
        <w:tc>
          <w:tcPr>
            <w:tcW w:w="481" w:type="dxa"/>
            <w:tcBorders>
              <w:start w:val="single" w:sz="4" w:space="0" w:color="000000"/>
              <w:bottom w:val="single" w:sz="4" w:space="0" w:color="000000"/>
            </w:tcBorders>
            <w:vAlign w:val="center"/>
          </w:tcPr>
          <w:p>
            <w:pPr>
              <w:pStyle w:val="TableContents"/>
              <w:rPr/>
            </w:pPr>
            <w:r>
              <w:rPr/>
              <w:t>90</w:t>
            </w:r>
          </w:p>
        </w:tc>
        <w:tc>
          <w:tcPr>
            <w:tcW w:w="985" w:type="dxa"/>
            <w:tcBorders>
              <w:start w:val="single" w:sz="4" w:space="0" w:color="000000"/>
              <w:bottom w:val="single" w:sz="4" w:space="0" w:color="000000"/>
            </w:tcBorders>
            <w:vAlign w:val="center"/>
          </w:tcPr>
          <w:p>
            <w:pPr>
              <w:pStyle w:val="TableContents"/>
              <w:rPr/>
            </w:pPr>
            <w:r>
              <w:rPr/>
              <w:t>24(3)</w:t>
            </w:r>
          </w:p>
        </w:tc>
        <w:tc>
          <w:tcPr>
            <w:tcW w:w="1597" w:type="dxa"/>
            <w:tcBorders>
              <w:start w:val="single" w:sz="4" w:space="0" w:color="000000"/>
              <w:bottom w:val="single" w:sz="4" w:space="0" w:color="000000"/>
            </w:tcBorders>
            <w:vAlign w:val="center"/>
          </w:tcPr>
          <w:p>
            <w:pPr>
              <w:pStyle w:val="TableContents"/>
              <w:rPr/>
            </w:pPr>
            <w:r>
              <w:rPr/>
              <w:t>Enforcement</w:t>
            </w:r>
          </w:p>
        </w:tc>
        <w:tc>
          <w:tcPr>
            <w:tcW w:w="3921" w:type="dxa"/>
            <w:tcBorders>
              <w:start w:val="single" w:sz="4" w:space="0" w:color="000000"/>
              <w:bottom w:val="single" w:sz="4" w:space="0" w:color="000000"/>
            </w:tcBorders>
            <w:vAlign w:val="center"/>
          </w:tcPr>
          <w:p>
            <w:pPr>
              <w:pStyle w:val="TableContents"/>
              <w:rPr/>
            </w:pPr>
            <w:r>
              <w:rPr/>
              <w:t>"association shall ensure building is maintained in conformity" - but no consequence if they don't.</w:t>
            </w:r>
          </w:p>
        </w:tc>
        <w:tc>
          <w:tcPr>
            <w:tcW w:w="4546" w:type="dxa"/>
            <w:tcBorders>
              <w:start w:val="single" w:sz="4" w:space="0" w:color="000000"/>
              <w:bottom w:val="single" w:sz="4" w:space="0" w:color="000000"/>
            </w:tcBorders>
            <w:vAlign w:val="center"/>
          </w:tcPr>
          <w:p>
            <w:pPr>
              <w:pStyle w:val="TableContents"/>
              <w:rPr/>
            </w:pPr>
            <w:r>
              <w:rPr/>
              <w:t>Add: "and in case of failure, the competent authority may initiate proceedings against the association"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Creates accountability mechanism.</w:t>
            </w:r>
          </w:p>
        </w:tc>
      </w:tr>
      <w:tr>
        <w:trPr>
          <w:cantSplit/>
        </w:trPr>
        <w:tc>
          <w:tcPr>
            <w:tcW w:w="481" w:type="dxa"/>
            <w:tcBorders>
              <w:start w:val="single" w:sz="4" w:space="0" w:color="000000"/>
              <w:bottom w:val="single" w:sz="4" w:space="0" w:color="000000"/>
            </w:tcBorders>
            <w:vAlign w:val="center"/>
          </w:tcPr>
          <w:p>
            <w:pPr>
              <w:pStyle w:val="TableContents"/>
              <w:rPr/>
            </w:pPr>
            <w:r>
              <w:rPr/>
              <w:t>91</w:t>
            </w:r>
          </w:p>
        </w:tc>
        <w:tc>
          <w:tcPr>
            <w:tcW w:w="985" w:type="dxa"/>
            <w:tcBorders>
              <w:start w:val="single" w:sz="4" w:space="0" w:color="000000"/>
              <w:bottom w:val="single" w:sz="4" w:space="0" w:color="000000"/>
            </w:tcBorders>
            <w:vAlign w:val="center"/>
          </w:tcPr>
          <w:p>
            <w:pPr>
              <w:pStyle w:val="TableContents"/>
              <w:rPr/>
            </w:pPr>
            <w:r>
              <w:rPr/>
              <w:t>24(3)</w:t>
            </w:r>
          </w:p>
        </w:tc>
        <w:tc>
          <w:tcPr>
            <w:tcW w:w="1597" w:type="dxa"/>
            <w:tcBorders>
              <w:start w:val="single" w:sz="4" w:space="0" w:color="000000"/>
              <w:bottom w:val="single" w:sz="4" w:space="0" w:color="000000"/>
            </w:tcBorders>
            <w:vAlign w:val="center"/>
          </w:tcPr>
          <w:p>
            <w:pPr>
              <w:pStyle w:val="TableContents"/>
              <w:rPr/>
            </w:pPr>
            <w:r>
              <w:rPr/>
              <w:t>Enforcement</w:t>
            </w:r>
          </w:p>
        </w:tc>
        <w:tc>
          <w:tcPr>
            <w:tcW w:w="3921" w:type="dxa"/>
            <w:tcBorders>
              <w:start w:val="single" w:sz="4" w:space="0" w:color="000000"/>
              <w:bottom w:val="single" w:sz="4" w:space="0" w:color="000000"/>
            </w:tcBorders>
            <w:vAlign w:val="center"/>
          </w:tcPr>
          <w:p>
            <w:pPr>
              <w:pStyle w:val="TableContents"/>
              <w:rPr/>
            </w:pPr>
            <w:r>
              <w:rPr/>
              <w:t>What's the penalty if violation? Is penalty shared by all sub-associations?</w:t>
            </w:r>
          </w:p>
        </w:tc>
        <w:tc>
          <w:tcPr>
            <w:tcW w:w="4546" w:type="dxa"/>
            <w:tcBorders>
              <w:start w:val="single" w:sz="4" w:space="0" w:color="000000"/>
              <w:bottom w:val="single" w:sz="4" w:space="0" w:color="000000"/>
            </w:tcBorders>
            <w:vAlign w:val="center"/>
          </w:tcPr>
          <w:p>
            <w:pPr>
              <w:pStyle w:val="TableContents"/>
              <w:rPr/>
            </w:pPr>
            <w:r>
              <w:rPr/>
              <w:t>Clarify whether penalty is borne by violating sub-association or individual owner.</w:t>
            </w:r>
          </w:p>
        </w:tc>
        <w:tc>
          <w:tcPr>
            <w:tcW w:w="4402" w:type="dxa"/>
            <w:tcBorders>
              <w:start w:val="single" w:sz="4" w:space="0" w:color="000000"/>
              <w:bottom w:val="single" w:sz="4" w:space="0" w:color="000000"/>
              <w:end w:val="single" w:sz="4" w:space="0" w:color="000000"/>
            </w:tcBorders>
            <w:vAlign w:val="center"/>
          </w:tcPr>
          <w:p>
            <w:pPr>
              <w:pStyle w:val="TableContents"/>
              <w:rPr/>
            </w:pPr>
            <w:r>
              <w:rPr/>
              <w:t>Liability Mismatch: If a sub-association violates a federation rule, but penalty falls on individual owners, it is inequitable. Must be clearly assigned.</w:t>
            </w:r>
          </w:p>
        </w:tc>
      </w:tr>
      <w:tr>
        <w:trPr>
          <w:cantSplit/>
        </w:trPr>
        <w:tc>
          <w:tcPr>
            <w:tcW w:w="481" w:type="dxa"/>
            <w:tcBorders>
              <w:start w:val="single" w:sz="4" w:space="0" w:color="000000"/>
              <w:bottom w:val="single" w:sz="4" w:space="0" w:color="000000"/>
            </w:tcBorders>
            <w:vAlign w:val="center"/>
          </w:tcPr>
          <w:p>
            <w:pPr>
              <w:pStyle w:val="TableContents"/>
              <w:rPr/>
            </w:pPr>
            <w:r>
              <w:rPr/>
              <w:t>92</w:t>
            </w:r>
          </w:p>
        </w:tc>
        <w:tc>
          <w:tcPr>
            <w:tcW w:w="985" w:type="dxa"/>
            <w:tcBorders>
              <w:start w:val="single" w:sz="4" w:space="0" w:color="000000"/>
              <w:bottom w:val="single" w:sz="4" w:space="0" w:color="000000"/>
            </w:tcBorders>
            <w:vAlign w:val="center"/>
          </w:tcPr>
          <w:p>
            <w:pPr>
              <w:pStyle w:val="TableContents"/>
              <w:rPr/>
            </w:pPr>
            <w:r>
              <w:rPr/>
              <w:t>24(4)</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"Where any matter...is not provided for in the bye-laws, the association may undertake such action with the prior approval of the competent authority" - vague.</w:t>
            </w:r>
          </w:p>
        </w:tc>
        <w:tc>
          <w:tcPr>
            <w:tcW w:w="4546" w:type="dxa"/>
            <w:tcBorders>
              <w:start w:val="single" w:sz="4" w:space="0" w:color="000000"/>
              <w:bottom w:val="single" w:sz="4" w:space="0" w:color="000000"/>
            </w:tcBorders>
            <w:vAlign w:val="center"/>
          </w:tcPr>
          <w:p>
            <w:pPr>
              <w:pStyle w:val="TableContents"/>
              <w:rPr/>
            </w:pPr>
            <w:r>
              <w:rPr/>
              <w:t>"with the prior approval of the competent authority under section 40 of this Act"</w:t>
            </w:r>
          </w:p>
        </w:tc>
        <w:tc>
          <w:tcPr>
            <w:tcW w:w="4402" w:type="dxa"/>
            <w:tcBorders>
              <w:start w:val="single" w:sz="4" w:space="0" w:color="000000"/>
              <w:bottom w:val="single" w:sz="4" w:space="0" w:color="000000"/>
              <w:end w:val="single" w:sz="4" w:space="0" w:color="000000"/>
            </w:tcBorders>
            <w:vAlign w:val="center"/>
          </w:tcPr>
          <w:p>
            <w:pPr>
              <w:pStyle w:val="TableContents"/>
              <w:rPr/>
            </w:pPr>
            <w:r>
              <w:rPr/>
              <w:t>Should reference the specific power provision.</w:t>
            </w:r>
          </w:p>
        </w:tc>
      </w:tr>
      <w:tr>
        <w:trPr>
          <w:cantSplit/>
        </w:trPr>
        <w:tc>
          <w:tcPr>
            <w:tcW w:w="481" w:type="dxa"/>
            <w:tcBorders>
              <w:start w:val="single" w:sz="4" w:space="0" w:color="000000"/>
              <w:bottom w:val="single" w:sz="4" w:space="0" w:color="000000"/>
            </w:tcBorders>
            <w:vAlign w:val="center"/>
          </w:tcPr>
          <w:p>
            <w:pPr>
              <w:pStyle w:val="TableContents"/>
              <w:rPr/>
            </w:pPr>
            <w:r>
              <w:rPr/>
              <w:t>93</w:t>
            </w:r>
          </w:p>
        </w:tc>
        <w:tc>
          <w:tcPr>
            <w:tcW w:w="985" w:type="dxa"/>
            <w:tcBorders>
              <w:start w:val="single" w:sz="4" w:space="0" w:color="000000"/>
              <w:bottom w:val="single" w:sz="4" w:space="0" w:color="000000"/>
            </w:tcBorders>
            <w:vAlign w:val="center"/>
          </w:tcPr>
          <w:p>
            <w:pPr>
              <w:pStyle w:val="TableContents"/>
              <w:rPr/>
            </w:pPr>
            <w:r>
              <w:rPr/>
              <w:t>24(5)</w:t>
            </w:r>
          </w:p>
        </w:tc>
        <w:tc>
          <w:tcPr>
            <w:tcW w:w="1597" w:type="dxa"/>
            <w:tcBorders>
              <w:start w:val="single" w:sz="4" w:space="0" w:color="000000"/>
              <w:bottom w:val="single" w:sz="4" w:space="0" w:color="000000"/>
            </w:tcBorders>
            <w:vAlign w:val="center"/>
          </w:tcPr>
          <w:p>
            <w:pPr>
              <w:pStyle w:val="TableContents"/>
              <w:rPr/>
            </w:pPr>
            <w:r>
              <w:rPr/>
              <w:t>Governance</w:t>
            </w:r>
          </w:p>
        </w:tc>
        <w:tc>
          <w:tcPr>
            <w:tcW w:w="3921" w:type="dxa"/>
            <w:tcBorders>
              <w:start w:val="single" w:sz="4" w:space="0" w:color="000000"/>
              <w:bottom w:val="single" w:sz="4" w:space="0" w:color="000000"/>
            </w:tcBorders>
            <w:vAlign w:val="center"/>
          </w:tcPr>
          <w:p>
            <w:pPr>
              <w:pStyle w:val="TableContents"/>
              <w:rPr/>
            </w:pPr>
            <w:r>
              <w:rPr/>
              <w:t>"The association may undertake alteration...only with consent of 75%" - "may" suggests optional consent.</w:t>
            </w:r>
          </w:p>
        </w:tc>
        <w:tc>
          <w:tcPr>
            <w:tcW w:w="4546" w:type="dxa"/>
            <w:tcBorders>
              <w:start w:val="single" w:sz="4" w:space="0" w:color="000000"/>
              <w:bottom w:val="single" w:sz="4" w:space="0" w:color="000000"/>
            </w:tcBorders>
            <w:vAlign w:val="center"/>
          </w:tcPr>
          <w:p>
            <w:pPr>
              <w:pStyle w:val="TableContents"/>
              <w:rPr/>
            </w:pPr>
            <w:r>
              <w:rPr/>
              <w:t>Change to: "The association shall not undertake alteration...except with the consent of not less than seventy-five percent..."</w:t>
            </w:r>
          </w:p>
        </w:tc>
        <w:tc>
          <w:tcPr>
            <w:tcW w:w="4402" w:type="dxa"/>
            <w:tcBorders>
              <w:start w:val="single" w:sz="4" w:space="0" w:color="000000"/>
              <w:bottom w:val="single" w:sz="4" w:space="0" w:color="000000"/>
              <w:end w:val="single" w:sz="4" w:space="0" w:color="000000"/>
            </w:tcBorders>
            <w:vAlign w:val="center"/>
          </w:tcPr>
          <w:p>
            <w:pPr>
              <w:pStyle w:val="TableContents"/>
              <w:rPr/>
            </w:pPr>
            <w:r>
              <w:rPr/>
              <w:t>Substantive restriction should use prohibitory language.</w:t>
            </w:r>
          </w:p>
        </w:tc>
      </w:tr>
      <w:tr>
        <w:trPr>
          <w:cantSplit/>
        </w:trPr>
        <w:tc>
          <w:tcPr>
            <w:tcW w:w="481" w:type="dxa"/>
            <w:tcBorders>
              <w:start w:val="single" w:sz="4" w:space="0" w:color="000000"/>
              <w:bottom w:val="single" w:sz="4" w:space="0" w:color="000000"/>
            </w:tcBorders>
            <w:vAlign w:val="center"/>
          </w:tcPr>
          <w:p>
            <w:pPr>
              <w:pStyle w:val="TableContents"/>
              <w:rPr/>
            </w:pPr>
            <w:r>
              <w:rPr/>
              <w:t>94</w:t>
            </w:r>
          </w:p>
        </w:tc>
        <w:tc>
          <w:tcPr>
            <w:tcW w:w="985" w:type="dxa"/>
            <w:tcBorders>
              <w:start w:val="single" w:sz="4" w:space="0" w:color="000000"/>
              <w:bottom w:val="single" w:sz="4" w:space="0" w:color="000000"/>
            </w:tcBorders>
            <w:vAlign w:val="center"/>
          </w:tcPr>
          <w:p>
            <w:pPr>
              <w:pStyle w:val="TableContents"/>
              <w:rPr/>
            </w:pPr>
            <w:r>
              <w:rPr/>
              <w:t>24(5)</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"If delayed beyond specified limit, must be considered 'deemed approved'" - appears to be editorial comment, not legislative text.</w:t>
            </w:r>
          </w:p>
        </w:tc>
        <w:tc>
          <w:tcPr>
            <w:tcW w:w="4546" w:type="dxa"/>
            <w:tcBorders>
              <w:start w:val="single" w:sz="4" w:space="0" w:color="000000"/>
              <w:bottom w:val="single" w:sz="4" w:space="0" w:color="000000"/>
            </w:tcBorders>
            <w:vAlign w:val="center"/>
          </w:tcPr>
          <w:p>
            <w:pPr>
              <w:pStyle w:val="TableContents"/>
              <w:rPr/>
            </w:pPr>
            <w:r>
              <w:rPr/>
              <w:t>Remove or properly draft as legislative text.</w:t>
            </w:r>
          </w:p>
        </w:tc>
        <w:tc>
          <w:tcPr>
            <w:tcW w:w="4402" w:type="dxa"/>
            <w:tcBorders>
              <w:start w:val="single" w:sz="4" w:space="0" w:color="000000"/>
              <w:bottom w:val="single" w:sz="4" w:space="0" w:color="000000"/>
              <w:end w:val="single" w:sz="4" w:space="0" w:color="000000"/>
            </w:tcBorders>
            <w:vAlign w:val="center"/>
          </w:tcPr>
          <w:p>
            <w:pPr>
              <w:pStyle w:val="TableContents"/>
              <w:rPr/>
            </w:pPr>
            <w:r>
              <w:rPr/>
              <w:t>Editorial comments embedded in text make legislation unenforceable.</w:t>
            </w:r>
          </w:p>
        </w:tc>
      </w:tr>
      <w:tr>
        <w:trPr>
          <w:cantSplit/>
        </w:trPr>
        <w:tc>
          <w:tcPr>
            <w:tcW w:w="481" w:type="dxa"/>
            <w:tcBorders>
              <w:start w:val="single" w:sz="4" w:space="0" w:color="000000"/>
              <w:bottom w:val="single" w:sz="4" w:space="0" w:color="000000"/>
            </w:tcBorders>
            <w:vAlign w:val="center"/>
          </w:tcPr>
          <w:p>
            <w:pPr>
              <w:pStyle w:val="TableContents"/>
              <w:rPr/>
            </w:pPr>
            <w:r>
              <w:rPr/>
              <w:t>95</w:t>
            </w:r>
          </w:p>
        </w:tc>
        <w:tc>
          <w:tcPr>
            <w:tcW w:w="985" w:type="dxa"/>
            <w:tcBorders>
              <w:start w:val="single" w:sz="4" w:space="0" w:color="000000"/>
              <w:bottom w:val="single" w:sz="4" w:space="0" w:color="000000"/>
            </w:tcBorders>
            <w:vAlign w:val="center"/>
          </w:tcPr>
          <w:p>
            <w:pPr>
              <w:pStyle w:val="TableContents"/>
              <w:rPr/>
            </w:pPr>
            <w:r>
              <w:rPr/>
              <w:t>24(5) proviso</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No deemed approval if delayed beyond limit.</w:t>
            </w:r>
          </w:p>
        </w:tc>
        <w:tc>
          <w:tcPr>
            <w:tcW w:w="4546" w:type="dxa"/>
            <w:tcBorders>
              <w:start w:val="single" w:sz="4" w:space="0" w:color="000000"/>
              <w:bottom w:val="single" w:sz="4" w:space="0" w:color="000000"/>
            </w:tcBorders>
            <w:vAlign w:val="center"/>
          </w:tcPr>
          <w:p>
            <w:pPr>
              <w:pStyle w:val="TableContents"/>
              <w:rPr/>
            </w:pPr>
            <w:r>
              <w:rPr/>
              <w:t>Replace with: "If delayed beyond the specified limit, the application shall be deemed approved. Such delays should be punishable under BNS 198."</w:t>
            </w:r>
          </w:p>
        </w:tc>
        <w:tc>
          <w:tcPr>
            <w:tcW w:w="4402" w:type="dxa"/>
            <w:tcBorders>
              <w:start w:val="single" w:sz="4" w:space="0" w:color="000000"/>
              <w:bottom w:val="single" w:sz="4" w:space="0" w:color="000000"/>
              <w:end w:val="single" w:sz="4" w:space="0" w:color="000000"/>
            </w:tcBorders>
            <w:vAlign w:val="center"/>
          </w:tcPr>
          <w:p>
            <w:pPr>
              <w:pStyle w:val="TableContents"/>
              <w:rPr/>
            </w:pPr>
            <w:r>
              <w:rPr/>
              <w:t>Bureaucratic Bottleneck: Without deemed approval, CA can indefinitely delay approvals, effectively killing projects or amendments.</w:t>
            </w:r>
          </w:p>
        </w:tc>
      </w:tr>
      <w:tr>
        <w:trPr>
          <w:cantSplit/>
        </w:trPr>
        <w:tc>
          <w:tcPr>
            <w:tcW w:w="481" w:type="dxa"/>
            <w:tcBorders>
              <w:start w:val="single" w:sz="4" w:space="0" w:color="000000"/>
              <w:bottom w:val="single" w:sz="4" w:space="0" w:color="000000"/>
            </w:tcBorders>
            <w:vAlign w:val="center"/>
          </w:tcPr>
          <w:p>
            <w:pPr>
              <w:pStyle w:val="TableContents"/>
              <w:rPr/>
            </w:pPr>
            <w:r>
              <w:rPr/>
              <w:t>96</w:t>
            </w:r>
          </w:p>
        </w:tc>
        <w:tc>
          <w:tcPr>
            <w:tcW w:w="985" w:type="dxa"/>
            <w:tcBorders>
              <w:start w:val="single" w:sz="4" w:space="0" w:color="000000"/>
              <w:bottom w:val="single" w:sz="4" w:space="0" w:color="000000"/>
            </w:tcBorders>
            <w:vAlign w:val="center"/>
          </w:tcPr>
          <w:p>
            <w:pPr>
              <w:pStyle w:val="TableContents"/>
              <w:rPr/>
            </w:pPr>
            <w:r>
              <w:rPr/>
              <w:t>25(2)</w:t>
            </w:r>
          </w:p>
        </w:tc>
        <w:tc>
          <w:tcPr>
            <w:tcW w:w="1597" w:type="dxa"/>
            <w:tcBorders>
              <w:start w:val="single" w:sz="4" w:space="0" w:color="000000"/>
              <w:bottom w:val="single" w:sz="4" w:space="0" w:color="000000"/>
            </w:tcBorders>
            <w:vAlign w:val="center"/>
          </w:tcPr>
          <w:p>
            <w:pPr>
              <w:pStyle w:val="TableContents"/>
              <w:rPr/>
            </w:pPr>
            <w:r>
              <w:rPr/>
              <w:t>Governance</w:t>
            </w:r>
          </w:p>
        </w:tc>
        <w:tc>
          <w:tcPr>
            <w:tcW w:w="3921" w:type="dxa"/>
            <w:tcBorders>
              <w:start w:val="single" w:sz="4" w:space="0" w:color="000000"/>
              <w:bottom w:val="single" w:sz="4" w:space="0" w:color="000000"/>
            </w:tcBorders>
            <w:vAlign w:val="center"/>
          </w:tcPr>
          <w:p>
            <w:pPr>
              <w:pStyle w:val="TableContents"/>
              <w:rPr/>
            </w:pPr>
            <w:r>
              <w:rPr/>
              <w:t>"as may be provided in this Act" - vague placeholder.</w:t>
            </w:r>
          </w:p>
        </w:tc>
        <w:tc>
          <w:tcPr>
            <w:tcW w:w="4546" w:type="dxa"/>
            <w:tcBorders>
              <w:start w:val="single" w:sz="4" w:space="0" w:color="000000"/>
              <w:bottom w:val="single" w:sz="4" w:space="0" w:color="000000"/>
            </w:tcBorders>
            <w:vAlign w:val="center"/>
          </w:tcPr>
          <w:p>
            <w:pPr>
              <w:pStyle w:val="TableContents"/>
              <w:rPr/>
            </w:pPr>
            <w:r>
              <w:rPr/>
              <w:t>Replace with precise section number.</w:t>
            </w:r>
          </w:p>
        </w:tc>
        <w:tc>
          <w:tcPr>
            <w:tcW w:w="4402" w:type="dxa"/>
            <w:tcBorders>
              <w:start w:val="single" w:sz="4" w:space="0" w:color="000000"/>
              <w:bottom w:val="single" w:sz="4" w:space="0" w:color="000000"/>
              <w:end w:val="single" w:sz="4" w:space="0" w:color="000000"/>
            </w:tcBorders>
            <w:vAlign w:val="center"/>
          </w:tcPr>
          <w:p>
            <w:pPr>
              <w:pStyle w:val="TableContents"/>
              <w:rPr/>
            </w:pPr>
            <w:r>
              <w:rPr/>
              <w:t>Appears drafter left a placeholder initially but forgot to replace with precise section number(s).</w:t>
            </w:r>
          </w:p>
        </w:tc>
      </w:tr>
      <w:tr>
        <w:trPr>
          <w:cantSplit/>
        </w:trPr>
        <w:tc>
          <w:tcPr>
            <w:tcW w:w="481" w:type="dxa"/>
            <w:tcBorders>
              <w:start w:val="single" w:sz="4" w:space="0" w:color="000000"/>
              <w:bottom w:val="single" w:sz="4" w:space="0" w:color="000000"/>
            </w:tcBorders>
            <w:vAlign w:val="center"/>
          </w:tcPr>
          <w:p>
            <w:pPr>
              <w:pStyle w:val="TableContents"/>
              <w:rPr/>
            </w:pPr>
            <w:r>
              <w:rPr/>
              <w:t>97</w:t>
            </w:r>
          </w:p>
        </w:tc>
        <w:tc>
          <w:tcPr>
            <w:tcW w:w="985" w:type="dxa"/>
            <w:tcBorders>
              <w:start w:val="single" w:sz="4" w:space="0" w:color="000000"/>
              <w:bottom w:val="single" w:sz="4" w:space="0" w:color="000000"/>
            </w:tcBorders>
            <w:vAlign w:val="center"/>
          </w:tcPr>
          <w:p>
            <w:pPr>
              <w:pStyle w:val="TableContents"/>
              <w:rPr/>
            </w:pPr>
            <w:r>
              <w:rPr/>
              <w:t>25(3)</w:t>
            </w:r>
          </w:p>
        </w:tc>
        <w:tc>
          <w:tcPr>
            <w:tcW w:w="1597" w:type="dxa"/>
            <w:tcBorders>
              <w:start w:val="single" w:sz="4" w:space="0" w:color="000000"/>
              <w:bottom w:val="single" w:sz="4" w:space="0" w:color="000000"/>
            </w:tcBorders>
            <w:vAlign w:val="center"/>
          </w:tcPr>
          <w:p>
            <w:pPr>
              <w:pStyle w:val="TableContents"/>
              <w:rPr/>
            </w:pPr>
            <w:r>
              <w:rPr/>
              <w:t>Governance</w:t>
            </w:r>
          </w:p>
        </w:tc>
        <w:tc>
          <w:tcPr>
            <w:tcW w:w="3921" w:type="dxa"/>
            <w:tcBorders>
              <w:start w:val="single" w:sz="4" w:space="0" w:color="000000"/>
              <w:bottom w:val="single" w:sz="4" w:space="0" w:color="000000"/>
            </w:tcBorders>
            <w:vAlign w:val="center"/>
          </w:tcPr>
          <w:p>
            <w:pPr>
              <w:pStyle w:val="TableContents"/>
              <w:rPr/>
            </w:pPr>
            <w:r>
              <w:rPr/>
              <w:t>"The federation shall not exercise any power or undertake any activity which an association...is not authorised to exercise" - but "may do so only with approval" - substantive restriction should use prohibitory language.</w:t>
            </w:r>
          </w:p>
        </w:tc>
        <w:tc>
          <w:tcPr>
            <w:tcW w:w="4546" w:type="dxa"/>
            <w:tcBorders>
              <w:start w:val="single" w:sz="4" w:space="0" w:color="000000"/>
              <w:bottom w:val="single" w:sz="4" w:space="0" w:color="000000"/>
            </w:tcBorders>
            <w:vAlign w:val="center"/>
          </w:tcPr>
          <w:p>
            <w:pPr>
              <w:pStyle w:val="TableContents"/>
              <w:rPr/>
            </w:pPr>
            <w:r>
              <w:rPr/>
              <w:t>Change to: "The federation shall not undertake any activity not provided for...except with the approval"</w:t>
            </w:r>
          </w:p>
        </w:tc>
        <w:tc>
          <w:tcPr>
            <w:tcW w:w="4402" w:type="dxa"/>
            <w:tcBorders>
              <w:start w:val="single" w:sz="4" w:space="0" w:color="000000"/>
              <w:bottom w:val="single" w:sz="4" w:space="0" w:color="000000"/>
              <w:end w:val="single" w:sz="4" w:space="0" w:color="000000"/>
            </w:tcBorders>
            <w:vAlign w:val="center"/>
          </w:tcPr>
          <w:p>
            <w:pPr>
              <w:pStyle w:val="TableContents"/>
              <w:rPr/>
            </w:pPr>
            <w:r>
              <w:rPr/>
              <w:t>Substantive restrictions should use prohibitory language.</w:t>
            </w:r>
          </w:p>
        </w:tc>
      </w:tr>
      <w:tr>
        <w:trPr>
          <w:cantSplit/>
        </w:trPr>
        <w:tc>
          <w:tcPr>
            <w:tcW w:w="481" w:type="dxa"/>
            <w:tcBorders>
              <w:start w:val="single" w:sz="4" w:space="0" w:color="000000"/>
              <w:bottom w:val="single" w:sz="4" w:space="0" w:color="000000"/>
            </w:tcBorders>
            <w:vAlign w:val="center"/>
          </w:tcPr>
          <w:p>
            <w:pPr>
              <w:pStyle w:val="TableContents"/>
              <w:rPr/>
            </w:pPr>
            <w:r>
              <w:rPr/>
              <w:t>98</w:t>
            </w:r>
          </w:p>
        </w:tc>
        <w:tc>
          <w:tcPr>
            <w:tcW w:w="985" w:type="dxa"/>
            <w:tcBorders>
              <w:start w:val="single" w:sz="4" w:space="0" w:color="000000"/>
              <w:bottom w:val="single" w:sz="4" w:space="0" w:color="000000"/>
            </w:tcBorders>
            <w:vAlign w:val="center"/>
          </w:tcPr>
          <w:p>
            <w:pPr>
              <w:pStyle w:val="TableContents"/>
              <w:rPr/>
            </w:pPr>
            <w:r>
              <w:rPr/>
              <w:t>25</w:t>
            </w:r>
          </w:p>
        </w:tc>
        <w:tc>
          <w:tcPr>
            <w:tcW w:w="1597" w:type="dxa"/>
            <w:tcBorders>
              <w:start w:val="single" w:sz="4" w:space="0" w:color="000000"/>
              <w:bottom w:val="single" w:sz="4" w:space="0" w:color="000000"/>
            </w:tcBorders>
            <w:vAlign w:val="center"/>
          </w:tcPr>
          <w:p>
            <w:pPr>
              <w:pStyle w:val="TableContents"/>
              <w:rPr/>
            </w:pPr>
            <w:r>
              <w:rPr/>
              <w:t>Governance/Jurisdiction</w:t>
            </w:r>
          </w:p>
        </w:tc>
        <w:tc>
          <w:tcPr>
            <w:tcW w:w="3921" w:type="dxa"/>
            <w:tcBorders>
              <w:start w:val="single" w:sz="4" w:space="0" w:color="000000"/>
              <w:bottom w:val="single" w:sz="4" w:space="0" w:color="000000"/>
            </w:tcBorders>
            <w:vAlign w:val="center"/>
          </w:tcPr>
          <w:p>
            <w:pPr>
              <w:pStyle w:val="TableContents"/>
              <w:rPr/>
            </w:pPr>
            <w:r>
              <w:rPr/>
              <w:t>Federation jurisdiction unclear - federation and associations may disagree on who controls what.</w:t>
            </w:r>
          </w:p>
        </w:tc>
        <w:tc>
          <w:tcPr>
            <w:tcW w:w="4546" w:type="dxa"/>
            <w:tcBorders>
              <w:start w:val="single" w:sz="4" w:space="0" w:color="000000"/>
              <w:bottom w:val="single" w:sz="4" w:space="0" w:color="000000"/>
            </w:tcBorders>
            <w:vAlign w:val="center"/>
          </w:tcPr>
          <w:p>
            <w:pPr>
              <w:pStyle w:val="TableContents"/>
              <w:rPr/>
            </w:pPr>
            <w:r>
              <w:rPr/>
              <w:t>Clearly delineate the powers of the federation versus the associations. Require consent of each association for federation decisions that affect that association. Specify that disputes between federation and associations are resolved by CA.</w:t>
            </w:r>
          </w:p>
        </w:tc>
        <w:tc>
          <w:tcPr>
            <w:tcW w:w="4402" w:type="dxa"/>
            <w:tcBorders>
              <w:start w:val="single" w:sz="4" w:space="0" w:color="000000"/>
              <w:bottom w:val="single" w:sz="4" w:space="0" w:color="000000"/>
              <w:end w:val="single" w:sz="4" w:space="0" w:color="000000"/>
            </w:tcBorders>
            <w:vAlign w:val="center"/>
          </w:tcPr>
          <w:p>
            <w:pPr>
              <w:pStyle w:val="TableContents"/>
              <w:rPr/>
            </w:pPr>
            <w:r>
              <w:rPr/>
              <w:t>Jurisdictional disputes. Federation overreach. Associations may lose autonomy.</w:t>
            </w:r>
          </w:p>
        </w:tc>
      </w:tr>
      <w:tr>
        <w:trPr>
          <w:cantSplit/>
        </w:trPr>
        <w:tc>
          <w:tcPr>
            <w:tcW w:w="481" w:type="dxa"/>
            <w:tcBorders>
              <w:start w:val="single" w:sz="4" w:space="0" w:color="000000"/>
              <w:bottom w:val="single" w:sz="4" w:space="0" w:color="000000"/>
            </w:tcBorders>
            <w:vAlign w:val="center"/>
          </w:tcPr>
          <w:p>
            <w:pPr>
              <w:pStyle w:val="TableContents"/>
              <w:rPr/>
            </w:pPr>
            <w:r>
              <w:rPr/>
              <w:t>99</w:t>
            </w:r>
          </w:p>
        </w:tc>
        <w:tc>
          <w:tcPr>
            <w:tcW w:w="985" w:type="dxa"/>
            <w:tcBorders>
              <w:start w:val="single" w:sz="4" w:space="0" w:color="000000"/>
              <w:bottom w:val="single" w:sz="4" w:space="0" w:color="000000"/>
            </w:tcBorders>
            <w:vAlign w:val="center"/>
          </w:tcPr>
          <w:p>
            <w:pPr>
              <w:pStyle w:val="TableContents"/>
              <w:rPr/>
            </w:pPr>
            <w:r>
              <w:rPr/>
              <w:t>26(2)(b)</w:t>
            </w:r>
          </w:p>
        </w:tc>
        <w:tc>
          <w:tcPr>
            <w:tcW w:w="1597" w:type="dxa"/>
            <w:tcBorders>
              <w:start w:val="single" w:sz="4" w:space="0" w:color="000000"/>
              <w:bottom w:val="single" w:sz="4" w:space="0" w:color="000000"/>
            </w:tcBorders>
            <w:vAlign w:val="center"/>
          </w:tcPr>
          <w:p>
            <w:pPr>
              <w:pStyle w:val="TableContents"/>
              <w:rPr/>
            </w:pPr>
            <w:r>
              <w:rPr/>
              <w:t>Financial</w:t>
            </w:r>
          </w:p>
        </w:tc>
        <w:tc>
          <w:tcPr>
            <w:tcW w:w="3921" w:type="dxa"/>
            <w:tcBorders>
              <w:start w:val="single" w:sz="4" w:space="0" w:color="000000"/>
              <w:bottom w:val="single" w:sz="4" w:space="0" w:color="000000"/>
            </w:tcBorders>
            <w:vAlign w:val="center"/>
          </w:tcPr>
          <w:p>
            <w:pPr>
              <w:pStyle w:val="TableContents"/>
              <w:rPr/>
            </w:pPr>
            <w:r>
              <w:rPr/>
              <w:t>"within the upper limit prescribed in this regard" - missing reference.</w:t>
            </w:r>
          </w:p>
        </w:tc>
        <w:tc>
          <w:tcPr>
            <w:tcW w:w="4546" w:type="dxa"/>
            <w:tcBorders>
              <w:start w:val="single" w:sz="4" w:space="0" w:color="000000"/>
              <w:bottom w:val="single" w:sz="4" w:space="0" w:color="000000"/>
            </w:tcBorders>
            <w:vAlign w:val="center"/>
          </w:tcPr>
          <w:p>
            <w:pPr>
              <w:pStyle w:val="TableContents"/>
              <w:rPr/>
            </w:pPr>
            <w:r>
              <w:rPr/>
              <w:t>"as prescribed under section 62"</w:t>
            </w:r>
          </w:p>
        </w:tc>
        <w:tc>
          <w:tcPr>
            <w:tcW w:w="4402" w:type="dxa"/>
            <w:tcBorders>
              <w:start w:val="single" w:sz="4" w:space="0" w:color="000000"/>
              <w:bottom w:val="single" w:sz="4" w:space="0" w:color="000000"/>
              <w:end w:val="single" w:sz="4" w:space="0" w:color="000000"/>
            </w:tcBorders>
            <w:vAlign w:val="center"/>
          </w:tcPr>
          <w:p>
            <w:pPr>
              <w:pStyle w:val="TableContents"/>
              <w:rPr/>
            </w:pPr>
            <w:r>
              <w:rPr/>
              <w:t>Rules should prescribe limits.</w:t>
            </w:r>
          </w:p>
        </w:tc>
      </w:tr>
      <w:tr>
        <w:trPr>
          <w:cantSplit/>
        </w:trPr>
        <w:tc>
          <w:tcPr>
            <w:tcW w:w="481" w:type="dxa"/>
            <w:tcBorders>
              <w:start w:val="single" w:sz="4" w:space="0" w:color="000000"/>
              <w:bottom w:val="single" w:sz="4" w:space="0" w:color="000000"/>
            </w:tcBorders>
            <w:vAlign w:val="center"/>
          </w:tcPr>
          <w:p>
            <w:pPr>
              <w:pStyle w:val="TableContents"/>
              <w:rPr/>
            </w:pPr>
            <w:r>
              <w:rPr/>
              <w:t>100</w:t>
            </w:r>
          </w:p>
        </w:tc>
        <w:tc>
          <w:tcPr>
            <w:tcW w:w="985" w:type="dxa"/>
            <w:tcBorders>
              <w:start w:val="single" w:sz="4" w:space="0" w:color="000000"/>
              <w:bottom w:val="single" w:sz="4" w:space="0" w:color="000000"/>
            </w:tcBorders>
            <w:vAlign w:val="center"/>
          </w:tcPr>
          <w:p>
            <w:pPr>
              <w:pStyle w:val="TableContents"/>
              <w:rPr/>
            </w:pPr>
            <w:r>
              <w:rPr/>
              <w:t>27(3)</w:t>
            </w:r>
          </w:p>
        </w:tc>
        <w:tc>
          <w:tcPr>
            <w:tcW w:w="1597" w:type="dxa"/>
            <w:tcBorders>
              <w:start w:val="single" w:sz="4" w:space="0" w:color="000000"/>
              <w:bottom w:val="single" w:sz="4" w:space="0" w:color="000000"/>
            </w:tcBorders>
            <w:vAlign w:val="center"/>
          </w:tcPr>
          <w:p>
            <w:pPr>
              <w:pStyle w:val="TableContents"/>
              <w:rPr/>
            </w:pPr>
            <w:r>
              <w:rPr/>
              <w:t>Procedural/Legal</w:t>
            </w:r>
          </w:p>
        </w:tc>
        <w:tc>
          <w:tcPr>
            <w:tcW w:w="3921" w:type="dxa"/>
            <w:tcBorders>
              <w:start w:val="single" w:sz="4" w:space="0" w:color="000000"/>
              <w:bottom w:val="single" w:sz="4" w:space="0" w:color="000000"/>
            </w:tcBorders>
            <w:vAlign w:val="center"/>
          </w:tcPr>
          <w:p>
            <w:pPr>
              <w:pStyle w:val="TableContents"/>
              <w:rPr/>
            </w:pPr>
            <w:r>
              <w:rPr/>
              <w:t>Strict 6-month limitation period for referring disputes to CA for recovery of maintenance dues.</w:t>
            </w:r>
          </w:p>
        </w:tc>
        <w:tc>
          <w:tcPr>
            <w:tcW w:w="4546" w:type="dxa"/>
            <w:tcBorders>
              <w:start w:val="single" w:sz="4" w:space="0" w:color="000000"/>
              <w:bottom w:val="single" w:sz="4" w:space="0" w:color="000000"/>
            </w:tcBorders>
            <w:vAlign w:val="center"/>
          </w:tcPr>
          <w:p>
            <w:pPr>
              <w:pStyle w:val="TableContents"/>
              <w:rPr/>
            </w:pPr>
            <w:r>
              <w:rPr/>
              <w:t>Substitute with: "The period of limitation for referring a dispute under section 26 shall be three years from the date on which the dues have become payable and remain unpaid."</w:t>
            </w:r>
          </w:p>
        </w:tc>
        <w:tc>
          <w:tcPr>
            <w:tcW w:w="4402" w:type="dxa"/>
            <w:tcBorders>
              <w:start w:val="single" w:sz="4" w:space="0" w:color="000000"/>
              <w:bottom w:val="single" w:sz="4" w:space="0" w:color="000000"/>
              <w:end w:val="single" w:sz="4" w:space="0" w:color="000000"/>
            </w:tcBorders>
            <w:vAlign w:val="center"/>
          </w:tcPr>
          <w:p>
            <w:pPr>
              <w:pStyle w:val="TableContents"/>
              <w:rPr/>
            </w:pPr>
            <w:r>
              <w:rPr/>
              <w:t>Protects Unscrupulous Defaulters: 6-month window allows promoters/owners to "run out the clock" on pending statutory dues. CA is barred from recovering legitimate historical dues, violating principle that statutory debts are perpetual.</w:t>
            </w:r>
          </w:p>
        </w:tc>
      </w:tr>
      <w:tr>
        <w:trPr>
          <w:cantSplit/>
        </w:trPr>
        <w:tc>
          <w:tcPr>
            <w:tcW w:w="481" w:type="dxa"/>
            <w:tcBorders>
              <w:start w:val="single" w:sz="4" w:space="0" w:color="000000"/>
              <w:bottom w:val="single" w:sz="4" w:space="0" w:color="000000"/>
            </w:tcBorders>
            <w:vAlign w:val="center"/>
          </w:tcPr>
          <w:p>
            <w:pPr>
              <w:pStyle w:val="TableContents"/>
              <w:rPr/>
            </w:pPr>
            <w:r>
              <w:rPr/>
              <w:t>101</w:t>
            </w:r>
          </w:p>
        </w:tc>
        <w:tc>
          <w:tcPr>
            <w:tcW w:w="985" w:type="dxa"/>
            <w:tcBorders>
              <w:start w:val="single" w:sz="4" w:space="0" w:color="000000"/>
              <w:bottom w:val="single" w:sz="4" w:space="0" w:color="000000"/>
            </w:tcBorders>
            <w:vAlign w:val="center"/>
          </w:tcPr>
          <w:p>
            <w:pPr>
              <w:pStyle w:val="TableContents"/>
              <w:rPr/>
            </w:pPr>
            <w:r>
              <w:rPr/>
              <w:t>27(3)</w:t>
            </w:r>
          </w:p>
        </w:tc>
        <w:tc>
          <w:tcPr>
            <w:tcW w:w="1597" w:type="dxa"/>
            <w:tcBorders>
              <w:start w:val="single" w:sz="4" w:space="0" w:color="000000"/>
              <w:bottom w:val="single" w:sz="4" w:space="0" w:color="000000"/>
            </w:tcBorders>
            <w:vAlign w:val="center"/>
          </w:tcPr>
          <w:p>
            <w:pPr>
              <w:pStyle w:val="TableContents"/>
              <w:rPr/>
            </w:pPr>
            <w:r>
              <w:rPr/>
              <w:t>Migration</w:t>
            </w:r>
          </w:p>
        </w:tc>
        <w:tc>
          <w:tcPr>
            <w:tcW w:w="3921" w:type="dxa"/>
            <w:tcBorders>
              <w:start w:val="single" w:sz="4" w:space="0" w:color="000000"/>
              <w:bottom w:val="single" w:sz="4" w:space="0" w:color="000000"/>
            </w:tcBorders>
            <w:vAlign w:val="center"/>
          </w:tcPr>
          <w:p>
            <w:pPr>
              <w:pStyle w:val="TableContents"/>
              <w:rPr/>
            </w:pPr>
            <w:r>
              <w:rPr/>
              <w:t>Limitation period - "Must not be applicable for deemed transfers (old cases)."</w:t>
            </w:r>
          </w:p>
        </w:tc>
        <w:tc>
          <w:tcPr>
            <w:tcW w:w="4546" w:type="dxa"/>
            <w:tcBorders>
              <w:start w:val="single" w:sz="4" w:space="0" w:color="000000"/>
              <w:bottom w:val="single" w:sz="4" w:space="0" w:color="000000"/>
            </w:tcBorders>
            <w:vAlign w:val="center"/>
          </w:tcPr>
          <w:p>
            <w:pPr>
              <w:pStyle w:val="TableContents"/>
              <w:rPr/>
            </w:pPr>
            <w:r>
              <w:rPr/>
              <w:t>Add: "The provisions of this section shall not apply to deemed transfers under Section 22(7) for projects completed before commencement of this Act."</w:t>
            </w:r>
          </w:p>
        </w:tc>
        <w:tc>
          <w:tcPr>
            <w:tcW w:w="4402" w:type="dxa"/>
            <w:tcBorders>
              <w:start w:val="single" w:sz="4" w:space="0" w:color="000000"/>
              <w:bottom w:val="single" w:sz="4" w:space="0" w:color="000000"/>
              <w:end w:val="single" w:sz="4" w:space="0" w:color="000000"/>
            </w:tcBorders>
            <w:vAlign w:val="center"/>
          </w:tcPr>
          <w:p>
            <w:pPr>
              <w:pStyle w:val="TableContents"/>
              <w:rPr/>
            </w:pPr>
            <w:r>
              <w:rPr/>
              <w:t>Old cases require different treatment.</w:t>
            </w:r>
          </w:p>
        </w:tc>
      </w:tr>
      <w:tr>
        <w:trPr>
          <w:cantSplit/>
        </w:trPr>
        <w:tc>
          <w:tcPr>
            <w:tcW w:w="481" w:type="dxa"/>
            <w:tcBorders>
              <w:start w:val="single" w:sz="4" w:space="0" w:color="000000"/>
              <w:bottom w:val="single" w:sz="4" w:space="0" w:color="000000"/>
            </w:tcBorders>
            <w:vAlign w:val="center"/>
          </w:tcPr>
          <w:p>
            <w:pPr>
              <w:pStyle w:val="TableContents"/>
              <w:rPr/>
            </w:pPr>
            <w:r>
              <w:rPr/>
              <w:t>102</w:t>
            </w:r>
          </w:p>
        </w:tc>
        <w:tc>
          <w:tcPr>
            <w:tcW w:w="985" w:type="dxa"/>
            <w:tcBorders>
              <w:start w:val="single" w:sz="4" w:space="0" w:color="000000"/>
              <w:bottom w:val="single" w:sz="4" w:space="0" w:color="000000"/>
            </w:tcBorders>
            <w:vAlign w:val="center"/>
          </w:tcPr>
          <w:p>
            <w:pPr>
              <w:pStyle w:val="TableContents"/>
              <w:rPr/>
            </w:pPr>
            <w:r>
              <w:rPr/>
              <w:t>28</w:t>
            </w:r>
          </w:p>
        </w:tc>
        <w:tc>
          <w:tcPr>
            <w:tcW w:w="1597" w:type="dxa"/>
            <w:tcBorders>
              <w:start w:val="single" w:sz="4" w:space="0" w:color="000000"/>
              <w:bottom w:val="single" w:sz="4" w:space="0" w:color="000000"/>
            </w:tcBorders>
            <w:vAlign w:val="center"/>
          </w:tcPr>
          <w:p>
            <w:pPr>
              <w:pStyle w:val="TableContents"/>
              <w:rPr/>
            </w:pPr>
            <w:r>
              <w:rPr/>
              <w:t>Legal</w:t>
            </w:r>
          </w:p>
        </w:tc>
        <w:tc>
          <w:tcPr>
            <w:tcW w:w="3921" w:type="dxa"/>
            <w:tcBorders>
              <w:start w:val="single" w:sz="4" w:space="0" w:color="000000"/>
              <w:bottom w:val="single" w:sz="4" w:space="0" w:color="000000"/>
            </w:tcBorders>
            <w:vAlign w:val="center"/>
          </w:tcPr>
          <w:p>
            <w:pPr>
              <w:pStyle w:val="TableContents"/>
              <w:rPr/>
            </w:pPr>
            <w:r>
              <w:rPr/>
              <w:t>Subsequent purchaser rights - KAOA had provision to limit his liabilities to stated amount. Removed here.</w:t>
            </w:r>
          </w:p>
        </w:tc>
        <w:tc>
          <w:tcPr>
            <w:tcW w:w="4546" w:type="dxa"/>
            <w:tcBorders>
              <w:start w:val="single" w:sz="4" w:space="0" w:color="000000"/>
              <w:bottom w:val="single" w:sz="4" w:space="0" w:color="000000"/>
            </w:tcBorders>
            <w:vAlign w:val="center"/>
          </w:tcPr>
          <w:p>
            <w:pPr>
              <w:pStyle w:val="TableContents"/>
              <w:rPr/>
            </w:pPr>
            <w:r>
              <w:rPr/>
              <w:t>Clarify: Does this mean unlimited liability now? Restore protection: "subsequent purchaser shall not be liable for any dues not disclosed in the certificate issued by the association."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Without this protection, subsequent purchaser has unlimited liability.</w:t>
            </w:r>
          </w:p>
        </w:tc>
      </w:tr>
      <w:tr>
        <w:trPr>
          <w:cantSplit/>
        </w:trPr>
        <w:tc>
          <w:tcPr>
            <w:tcW w:w="481" w:type="dxa"/>
            <w:tcBorders>
              <w:start w:val="single" w:sz="4" w:space="0" w:color="000000"/>
              <w:bottom w:val="single" w:sz="4" w:space="0" w:color="000000"/>
            </w:tcBorders>
            <w:vAlign w:val="center"/>
          </w:tcPr>
          <w:p>
            <w:pPr>
              <w:pStyle w:val="TableContents"/>
              <w:rPr/>
            </w:pPr>
            <w:r>
              <w:rPr/>
              <w:t>103</w:t>
            </w:r>
          </w:p>
        </w:tc>
        <w:tc>
          <w:tcPr>
            <w:tcW w:w="985" w:type="dxa"/>
            <w:tcBorders>
              <w:start w:val="single" w:sz="4" w:space="0" w:color="000000"/>
              <w:bottom w:val="single" w:sz="4" w:space="0" w:color="000000"/>
            </w:tcBorders>
            <w:vAlign w:val="center"/>
          </w:tcPr>
          <w:p>
            <w:pPr>
              <w:pStyle w:val="TableContents"/>
              <w:rPr/>
            </w:pPr>
            <w:r>
              <w:rPr/>
              <w:t>29(7)</w:t>
            </w:r>
          </w:p>
        </w:tc>
        <w:tc>
          <w:tcPr>
            <w:tcW w:w="1597" w:type="dxa"/>
            <w:tcBorders>
              <w:start w:val="single" w:sz="4" w:space="0" w:color="000000"/>
              <w:bottom w:val="single" w:sz="4" w:space="0" w:color="000000"/>
            </w:tcBorders>
            <w:vAlign w:val="center"/>
          </w:tcPr>
          <w:p>
            <w:pPr>
              <w:pStyle w:val="TableContents"/>
              <w:rPr/>
            </w:pPr>
            <w:r>
              <w:rPr/>
              <w:t>Financial/Enforcement</w:t>
            </w:r>
          </w:p>
        </w:tc>
        <w:tc>
          <w:tcPr>
            <w:tcW w:w="3921" w:type="dxa"/>
            <w:tcBorders>
              <w:start w:val="single" w:sz="4" w:space="0" w:color="000000"/>
              <w:bottom w:val="single" w:sz="4" w:space="0" w:color="000000"/>
            </w:tcBorders>
            <w:vAlign w:val="center"/>
          </w:tcPr>
          <w:p>
            <w:pPr>
              <w:pStyle w:val="TableContents"/>
              <w:rPr/>
            </w:pPr>
            <w:r>
              <w:rPr/>
              <w:t>Penalty for failing to submit audited accounts is left to future Rules. Until framed, CA has zero enforcement power.</w:t>
            </w:r>
          </w:p>
        </w:tc>
        <w:tc>
          <w:tcPr>
            <w:tcW w:w="4546" w:type="dxa"/>
            <w:tcBorders>
              <w:start w:val="single" w:sz="4" w:space="0" w:color="000000"/>
              <w:bottom w:val="single" w:sz="4" w:space="0" w:color="000000"/>
            </w:tcBorders>
            <w:vAlign w:val="center"/>
          </w:tcPr>
          <w:p>
            <w:pPr>
              <w:pStyle w:val="TableContents"/>
              <w:rPr/>
            </w:pPr>
            <w:r>
              <w:rPr/>
              <w:t>Substitute with default penalty: "shall impose a penalty of five hundred rupees for every day of default, subject to a maximum of fifty thousand rupees, payable by the Executive Committee members jointly and severally."</w:t>
            </w:r>
          </w:p>
        </w:tc>
        <w:tc>
          <w:tcPr>
            <w:tcW w:w="4402" w:type="dxa"/>
            <w:tcBorders>
              <w:start w:val="single" w:sz="4" w:space="0" w:color="000000"/>
              <w:bottom w:val="single" w:sz="4" w:space="0" w:color="000000"/>
              <w:end w:val="single" w:sz="4" w:space="0" w:color="000000"/>
            </w:tcBorders>
            <w:vAlign w:val="center"/>
          </w:tcPr>
          <w:p>
            <w:pPr>
              <w:pStyle w:val="TableContents"/>
              <w:rPr/>
            </w:pPr>
            <w:r>
              <w:rPr/>
              <w:t>Immediate Financial Oversight: Associations can indefinitely refuse audits, starving CA of financial oversight. Default statutory penalty in Act ensures immediate compliance without waiting for rule-making delays.</w:t>
            </w:r>
          </w:p>
        </w:tc>
      </w:tr>
      <w:tr>
        <w:trPr>
          <w:cantSplit/>
        </w:trPr>
        <w:tc>
          <w:tcPr>
            <w:tcW w:w="481" w:type="dxa"/>
            <w:tcBorders>
              <w:start w:val="single" w:sz="4" w:space="0" w:color="000000"/>
              <w:bottom w:val="single" w:sz="4" w:space="0" w:color="000000"/>
            </w:tcBorders>
            <w:vAlign w:val="center"/>
          </w:tcPr>
          <w:p>
            <w:pPr>
              <w:pStyle w:val="TableContents"/>
              <w:rPr/>
            </w:pPr>
            <w:r>
              <w:rPr/>
              <w:t>104</w:t>
            </w:r>
          </w:p>
        </w:tc>
        <w:tc>
          <w:tcPr>
            <w:tcW w:w="985" w:type="dxa"/>
            <w:tcBorders>
              <w:start w:val="single" w:sz="4" w:space="0" w:color="000000"/>
              <w:bottom w:val="single" w:sz="4" w:space="0" w:color="000000"/>
            </w:tcBorders>
            <w:vAlign w:val="center"/>
          </w:tcPr>
          <w:p>
            <w:pPr>
              <w:pStyle w:val="TableContents"/>
              <w:rPr/>
            </w:pPr>
            <w:r>
              <w:rPr/>
              <w:t>30</w:t>
            </w:r>
          </w:p>
        </w:tc>
        <w:tc>
          <w:tcPr>
            <w:tcW w:w="1597" w:type="dxa"/>
            <w:tcBorders>
              <w:start w:val="single" w:sz="4" w:space="0" w:color="000000"/>
              <w:bottom w:val="single" w:sz="4" w:space="0" w:color="000000"/>
            </w:tcBorders>
            <w:vAlign w:val="center"/>
          </w:tcPr>
          <w:p>
            <w:pPr>
              <w:pStyle w:val="TableContents"/>
              <w:rPr/>
            </w:pPr>
            <w:r>
              <w:rPr/>
              <w:t>Insurance</w:t>
            </w:r>
          </w:p>
        </w:tc>
        <w:tc>
          <w:tcPr>
            <w:tcW w:w="3921" w:type="dxa"/>
            <w:tcBorders>
              <w:start w:val="single" w:sz="4" w:space="0" w:color="000000"/>
              <w:bottom w:val="single" w:sz="4" w:space="0" w:color="000000"/>
            </w:tcBorders>
            <w:vAlign w:val="center"/>
          </w:tcPr>
          <w:p>
            <w:pPr>
              <w:pStyle w:val="TableContents"/>
              <w:rPr/>
            </w:pPr>
            <w:r>
              <w:rPr/>
              <w:t>Insurance required but no mechanism for CA to verify compliance.</w:t>
            </w:r>
          </w:p>
        </w:tc>
        <w:tc>
          <w:tcPr>
            <w:tcW w:w="4546" w:type="dxa"/>
            <w:tcBorders>
              <w:start w:val="single" w:sz="4" w:space="0" w:color="000000"/>
              <w:bottom w:val="single" w:sz="4" w:space="0" w:color="000000"/>
            </w:tcBorders>
            <w:vAlign w:val="center"/>
          </w:tcPr>
          <w:p>
            <w:pPr>
              <w:pStyle w:val="TableContents"/>
              <w:rPr/>
            </w:pPr>
            <w:r>
              <w:rPr/>
              <w:t>Require CA to verify insurance coverage annually. Require association to submit proof of insurance renewal to CA.</w:t>
            </w:r>
          </w:p>
        </w:tc>
        <w:tc>
          <w:tcPr>
            <w:tcW w:w="4402" w:type="dxa"/>
            <w:tcBorders>
              <w:start w:val="single" w:sz="4" w:space="0" w:color="000000"/>
              <w:bottom w:val="single" w:sz="4" w:space="0" w:color="000000"/>
              <w:end w:val="single" w:sz="4" w:space="0" w:color="000000"/>
            </w:tcBorders>
            <w:vAlign w:val="center"/>
          </w:tcPr>
          <w:p>
            <w:pPr>
              <w:pStyle w:val="TableContents"/>
              <w:rPr/>
            </w:pPr>
            <w:r>
              <w:rPr/>
              <w:t>RERA's requirement ends with promoter. Once promoter hands over, RERA does not require association to maintain insurance. No ongoing verification. Lapse risk.</w:t>
            </w:r>
          </w:p>
        </w:tc>
      </w:tr>
      <w:tr>
        <w:trPr>
          <w:cantSplit/>
        </w:trPr>
        <w:tc>
          <w:tcPr>
            <w:tcW w:w="481" w:type="dxa"/>
            <w:tcBorders>
              <w:start w:val="single" w:sz="4" w:space="0" w:color="000000"/>
              <w:bottom w:val="single" w:sz="4" w:space="0" w:color="000000"/>
            </w:tcBorders>
            <w:vAlign w:val="center"/>
          </w:tcPr>
          <w:p>
            <w:pPr>
              <w:pStyle w:val="TableContents"/>
              <w:rPr/>
            </w:pPr>
            <w:r>
              <w:rPr/>
              <w:t>105</w:t>
            </w:r>
          </w:p>
        </w:tc>
        <w:tc>
          <w:tcPr>
            <w:tcW w:w="985" w:type="dxa"/>
            <w:tcBorders>
              <w:start w:val="single" w:sz="4" w:space="0" w:color="000000"/>
              <w:bottom w:val="single" w:sz="4" w:space="0" w:color="000000"/>
            </w:tcBorders>
            <w:vAlign w:val="center"/>
          </w:tcPr>
          <w:p>
            <w:pPr>
              <w:pStyle w:val="TableContents"/>
              <w:rPr/>
            </w:pPr>
            <w:r>
              <w:rPr/>
              <w:t>31(2)</w:t>
            </w:r>
          </w:p>
        </w:tc>
        <w:tc>
          <w:tcPr>
            <w:tcW w:w="1597" w:type="dxa"/>
            <w:tcBorders>
              <w:start w:val="single" w:sz="4" w:space="0" w:color="000000"/>
              <w:bottom w:val="single" w:sz="4" w:space="0" w:color="000000"/>
            </w:tcBorders>
            <w:vAlign w:val="center"/>
          </w:tcPr>
          <w:p>
            <w:pPr>
              <w:pStyle w:val="TableContents"/>
              <w:rPr/>
            </w:pPr>
            <w:r>
              <w:rPr/>
              <w:t>Governance</w:t>
            </w:r>
          </w:p>
        </w:tc>
        <w:tc>
          <w:tcPr>
            <w:tcW w:w="3921" w:type="dxa"/>
            <w:tcBorders>
              <w:start w:val="single" w:sz="4" w:space="0" w:color="000000"/>
              <w:bottom w:val="single" w:sz="4" w:space="0" w:color="000000"/>
            </w:tcBorders>
            <w:vAlign w:val="center"/>
          </w:tcPr>
          <w:p>
            <w:pPr>
              <w:pStyle w:val="TableContents"/>
              <w:rPr/>
            </w:pPr>
            <w:r>
              <w:rPr/>
              <w:t>"Approval...shall be obtained by a resolution passed by a majority of members present" - ambiguous.</w:t>
            </w:r>
          </w:p>
        </w:tc>
        <w:tc>
          <w:tcPr>
            <w:tcW w:w="4546" w:type="dxa"/>
            <w:tcBorders>
              <w:start w:val="single" w:sz="4" w:space="0" w:color="000000"/>
              <w:bottom w:val="single" w:sz="4" w:space="0" w:color="000000"/>
            </w:tcBorders>
            <w:vAlign w:val="center"/>
          </w:tcPr>
          <w:p>
            <w:pPr>
              <w:pStyle w:val="TableContents"/>
              <w:rPr/>
            </w:pPr>
            <w:r>
              <w:rPr/>
              <w:t>Clarify: "shall be obtained by a resolution passed by a simple majority of the total members of the association"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Current language could lead to decisions by small, unrepresentative groups.</w:t>
            </w:r>
          </w:p>
        </w:tc>
      </w:tr>
      <w:tr>
        <w:trPr>
          <w:cantSplit/>
        </w:trPr>
        <w:tc>
          <w:tcPr>
            <w:tcW w:w="481" w:type="dxa"/>
            <w:tcBorders>
              <w:start w:val="single" w:sz="4" w:space="0" w:color="000000"/>
              <w:bottom w:val="single" w:sz="4" w:space="0" w:color="000000"/>
            </w:tcBorders>
            <w:vAlign w:val="center"/>
          </w:tcPr>
          <w:p>
            <w:pPr>
              <w:pStyle w:val="TableContents"/>
              <w:rPr/>
            </w:pPr>
            <w:r>
              <w:rPr/>
              <w:t>106</w:t>
            </w:r>
          </w:p>
        </w:tc>
        <w:tc>
          <w:tcPr>
            <w:tcW w:w="985" w:type="dxa"/>
            <w:tcBorders>
              <w:start w:val="single" w:sz="4" w:space="0" w:color="000000"/>
              <w:bottom w:val="single" w:sz="4" w:space="0" w:color="000000"/>
            </w:tcBorders>
            <w:vAlign w:val="center"/>
          </w:tcPr>
          <w:p>
            <w:pPr>
              <w:pStyle w:val="TableContents"/>
              <w:rPr/>
            </w:pPr>
            <w:r>
              <w:rPr/>
              <w:t>31(2)</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"majority of members present" - NOT majority of total owners.</w:t>
            </w:r>
          </w:p>
        </w:tc>
        <w:tc>
          <w:tcPr>
            <w:tcW w:w="4546" w:type="dxa"/>
            <w:tcBorders>
              <w:start w:val="single" w:sz="4" w:space="0" w:color="000000"/>
              <w:bottom w:val="single" w:sz="4" w:space="0" w:color="000000"/>
            </w:tcBorders>
            <w:vAlign w:val="center"/>
          </w:tcPr>
          <w:p>
            <w:pPr>
              <w:pStyle w:val="TableContents"/>
              <w:rPr/>
            </w:pPr>
            <w:r>
              <w:rPr/>
              <w:t>Change to: "majority of the total apartment owners in the association"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Current provision allows decisions by small, unrepresentative groups.</w:t>
            </w:r>
          </w:p>
        </w:tc>
      </w:tr>
      <w:tr>
        <w:trPr>
          <w:cantSplit/>
        </w:trPr>
        <w:tc>
          <w:tcPr>
            <w:tcW w:w="481" w:type="dxa"/>
            <w:tcBorders>
              <w:start w:val="single" w:sz="4" w:space="0" w:color="000000"/>
              <w:bottom w:val="single" w:sz="4" w:space="0" w:color="000000"/>
            </w:tcBorders>
            <w:vAlign w:val="center"/>
          </w:tcPr>
          <w:p>
            <w:pPr>
              <w:pStyle w:val="TableContents"/>
              <w:rPr/>
            </w:pPr>
            <w:r>
              <w:rPr/>
              <w:t>107</w:t>
            </w:r>
          </w:p>
        </w:tc>
        <w:tc>
          <w:tcPr>
            <w:tcW w:w="985" w:type="dxa"/>
            <w:tcBorders>
              <w:start w:val="single" w:sz="4" w:space="0" w:color="000000"/>
              <w:bottom w:val="single" w:sz="4" w:space="0" w:color="000000"/>
            </w:tcBorders>
            <w:vAlign w:val="center"/>
          </w:tcPr>
          <w:p>
            <w:pPr>
              <w:pStyle w:val="TableContents"/>
              <w:rPr/>
            </w:pPr>
            <w:r>
              <w:rPr/>
              <w:t>31(4)</w:t>
            </w:r>
          </w:p>
        </w:tc>
        <w:tc>
          <w:tcPr>
            <w:tcW w:w="1597" w:type="dxa"/>
            <w:tcBorders>
              <w:start w:val="single" w:sz="4" w:space="0" w:color="000000"/>
              <w:bottom w:val="single" w:sz="4" w:space="0" w:color="000000"/>
            </w:tcBorders>
            <w:vAlign w:val="center"/>
          </w:tcPr>
          <w:p>
            <w:pPr>
              <w:pStyle w:val="TableContents"/>
              <w:rPr/>
            </w:pPr>
            <w:r>
              <w:rPr/>
              <w:t>Procedural/Governance</w:t>
            </w:r>
          </w:p>
        </w:tc>
        <w:tc>
          <w:tcPr>
            <w:tcW w:w="3921" w:type="dxa"/>
            <w:tcBorders>
              <w:start w:val="single" w:sz="4" w:space="0" w:color="000000"/>
              <w:bottom w:val="single" w:sz="4" w:space="0" w:color="000000"/>
            </w:tcBorders>
            <w:vAlign w:val="center"/>
          </w:tcPr>
          <w:p>
            <w:pPr>
              <w:pStyle w:val="TableContents"/>
              <w:rPr/>
            </w:pPr>
            <w:r>
              <w:rPr/>
              <w:t>Major repairs, alterations, reconstruction require CA approval but lack statutory time limit or "deemed approval" clause.</w:t>
            </w:r>
          </w:p>
        </w:tc>
        <w:tc>
          <w:tcPr>
            <w:tcW w:w="4546" w:type="dxa"/>
            <w:tcBorders>
              <w:start w:val="single" w:sz="4" w:space="0" w:color="000000"/>
              <w:bottom w:val="single" w:sz="4" w:space="0" w:color="000000"/>
            </w:tcBorders>
            <w:vAlign w:val="center"/>
          </w:tcPr>
          <w:p>
            <w:pPr>
              <w:pStyle w:val="TableContents"/>
              <w:rPr/>
            </w:pPr>
            <w:r>
              <w:rPr/>
              <w:t>Insert proviso: "Provided that the Competent Authority shall communicate its decision within forty-five days of receipt of the application. If no decision is communicated within this period, the proposal shall be deemed to have been approved."</w:t>
            </w:r>
          </w:p>
        </w:tc>
        <w:tc>
          <w:tcPr>
            <w:tcW w:w="4402" w:type="dxa"/>
            <w:tcBorders>
              <w:start w:val="single" w:sz="4" w:space="0" w:color="000000"/>
              <w:bottom w:val="single" w:sz="4" w:space="0" w:color="000000"/>
              <w:end w:val="single" w:sz="4" w:space="0" w:color="000000"/>
            </w:tcBorders>
            <w:vAlign w:val="center"/>
          </w:tcPr>
          <w:p>
            <w:pPr>
              <w:pStyle w:val="TableContents"/>
              <w:rPr/>
            </w:pPr>
            <w:r>
              <w:rPr/>
              <w:t>Eliminates Rent-Seeking: Discretionary delays empower CA to stall projects indefinitely to extort favours. Symmetrical "deemed approval" across all permissions ensures CA acts as facilitator, not gatekeeper.</w:t>
            </w:r>
          </w:p>
        </w:tc>
      </w:tr>
      <w:tr>
        <w:trPr>
          <w:cantSplit/>
        </w:trPr>
        <w:tc>
          <w:tcPr>
            <w:tcW w:w="481" w:type="dxa"/>
            <w:tcBorders>
              <w:start w:val="single" w:sz="4" w:space="0" w:color="000000"/>
              <w:bottom w:val="single" w:sz="4" w:space="0" w:color="000000"/>
            </w:tcBorders>
            <w:vAlign w:val="center"/>
          </w:tcPr>
          <w:p>
            <w:pPr>
              <w:pStyle w:val="TableContents"/>
              <w:rPr/>
            </w:pPr>
            <w:r>
              <w:rPr/>
              <w:t>108</w:t>
            </w:r>
          </w:p>
        </w:tc>
        <w:tc>
          <w:tcPr>
            <w:tcW w:w="985" w:type="dxa"/>
            <w:tcBorders>
              <w:start w:val="single" w:sz="4" w:space="0" w:color="000000"/>
              <w:bottom w:val="single" w:sz="4" w:space="0" w:color="000000"/>
            </w:tcBorders>
            <w:vAlign w:val="center"/>
          </w:tcPr>
          <w:p>
            <w:pPr>
              <w:pStyle w:val="TableContents"/>
              <w:rPr/>
            </w:pPr>
            <w:r>
              <w:rPr/>
              <w:t>31(4)</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"may" should be "shall" when safety is involved.</w:t>
            </w:r>
          </w:p>
        </w:tc>
        <w:tc>
          <w:tcPr>
            <w:tcW w:w="4546" w:type="dxa"/>
            <w:tcBorders>
              <w:start w:val="single" w:sz="4" w:space="0" w:color="000000"/>
              <w:bottom w:val="single" w:sz="4" w:space="0" w:color="000000"/>
            </w:tcBorders>
            <w:vAlign w:val="center"/>
          </w:tcPr>
          <w:p>
            <w:pPr>
              <w:pStyle w:val="TableContents"/>
              <w:rPr/>
            </w:pPr>
            <w:r>
              <w:rPr/>
              <w:t>Change to: "the Executive Committee shall undertake such repairs immediately"</w:t>
            </w:r>
          </w:p>
        </w:tc>
        <w:tc>
          <w:tcPr>
            <w:tcW w:w="4402" w:type="dxa"/>
            <w:tcBorders>
              <w:start w:val="single" w:sz="4" w:space="0" w:color="000000"/>
              <w:bottom w:val="single" w:sz="4" w:space="0" w:color="000000"/>
              <w:end w:val="single" w:sz="4" w:space="0" w:color="000000"/>
            </w:tcBorders>
            <w:vAlign w:val="center"/>
          </w:tcPr>
          <w:p>
            <w:pPr>
              <w:pStyle w:val="TableContents"/>
              <w:rPr/>
            </w:pPr>
            <w:r>
              <w:rPr/>
              <w:t>Where safety is at risk, the Committee has a duty to act, not discretion.</w:t>
            </w:r>
          </w:p>
        </w:tc>
      </w:tr>
      <w:tr>
        <w:trPr>
          <w:cantSplit/>
        </w:trPr>
        <w:tc>
          <w:tcPr>
            <w:tcW w:w="481" w:type="dxa"/>
            <w:tcBorders>
              <w:start w:val="single" w:sz="4" w:space="0" w:color="000000"/>
              <w:bottom w:val="single" w:sz="4" w:space="0" w:color="000000"/>
            </w:tcBorders>
            <w:vAlign w:val="center"/>
          </w:tcPr>
          <w:p>
            <w:pPr>
              <w:pStyle w:val="TableContents"/>
              <w:rPr/>
            </w:pPr>
            <w:r>
              <w:rPr/>
              <w:t>109</w:t>
            </w:r>
          </w:p>
        </w:tc>
        <w:tc>
          <w:tcPr>
            <w:tcW w:w="985" w:type="dxa"/>
            <w:tcBorders>
              <w:start w:val="single" w:sz="4" w:space="0" w:color="000000"/>
              <w:bottom w:val="single" w:sz="4" w:space="0" w:color="000000"/>
            </w:tcBorders>
            <w:vAlign w:val="center"/>
          </w:tcPr>
          <w:p>
            <w:pPr>
              <w:pStyle w:val="TableContents"/>
              <w:rPr/>
            </w:pPr>
            <w:r>
              <w:rPr/>
              <w:t>31(8)</w:t>
            </w:r>
          </w:p>
        </w:tc>
        <w:tc>
          <w:tcPr>
            <w:tcW w:w="1597" w:type="dxa"/>
            <w:tcBorders>
              <w:start w:val="single" w:sz="4" w:space="0" w:color="000000"/>
              <w:bottom w:val="single" w:sz="4" w:space="0" w:color="000000"/>
            </w:tcBorders>
            <w:vAlign w:val="center"/>
          </w:tcPr>
          <w:p>
            <w:pPr>
              <w:pStyle w:val="TableContents"/>
              <w:rPr/>
            </w:pPr>
            <w:r>
              <w:rPr/>
              <w:t>Governance</w:t>
            </w:r>
          </w:p>
        </w:tc>
        <w:tc>
          <w:tcPr>
            <w:tcW w:w="3921" w:type="dxa"/>
            <w:tcBorders>
              <w:start w:val="single" w:sz="4" w:space="0" w:color="000000"/>
              <w:bottom w:val="single" w:sz="4" w:space="0" w:color="000000"/>
            </w:tcBorders>
            <w:vAlign w:val="center"/>
          </w:tcPr>
          <w:p>
            <w:pPr>
              <w:pStyle w:val="TableContents"/>
              <w:rPr/>
            </w:pPr>
            <w:r>
              <w:rPr/>
              <w:t>"What if the GBM rejects the expenditure" - no mechanism.</w:t>
            </w:r>
          </w:p>
        </w:tc>
        <w:tc>
          <w:tcPr>
            <w:tcW w:w="4546" w:type="dxa"/>
            <w:tcBorders>
              <w:start w:val="single" w:sz="4" w:space="0" w:color="000000"/>
              <w:bottom w:val="single" w:sz="4" w:space="0" w:color="000000"/>
            </w:tcBorders>
            <w:vAlign w:val="center"/>
          </w:tcPr>
          <w:p>
            <w:pPr>
              <w:pStyle w:val="TableContents"/>
              <w:rPr/>
            </w:pPr>
            <w:r>
              <w:rPr/>
              <w:t>Add: "If GBM rejects the expenditure, the Executive Committee members who authorised it shall be jointly and severally liable to reimburse the association, unless they establish the expenditure was bona fide and reasonably incurred in the interest of safety."</w:t>
            </w:r>
          </w:p>
        </w:tc>
        <w:tc>
          <w:tcPr>
            <w:tcW w:w="4402" w:type="dxa"/>
            <w:tcBorders>
              <w:start w:val="single" w:sz="4" w:space="0" w:color="000000"/>
              <w:bottom w:val="single" w:sz="4" w:space="0" w:color="000000"/>
              <w:end w:val="single" w:sz="4" w:space="0" w:color="000000"/>
            </w:tcBorders>
            <w:vAlign w:val="center"/>
          </w:tcPr>
          <w:p>
            <w:pPr>
              <w:pStyle w:val="TableContents"/>
              <w:rPr/>
            </w:pPr>
            <w:r>
              <w:rPr/>
              <w:t>Accountability gap. Executive Committee may incur substantial expenditure in name of "urgency"; GBM may only discover months later; no mechanism to reverse.</w:t>
            </w:r>
          </w:p>
        </w:tc>
      </w:tr>
      <w:tr>
        <w:trPr>
          <w:cantSplit/>
        </w:trPr>
        <w:tc>
          <w:tcPr>
            <w:tcW w:w="481" w:type="dxa"/>
            <w:tcBorders>
              <w:start w:val="single" w:sz="4" w:space="0" w:color="000000"/>
              <w:bottom w:val="single" w:sz="4" w:space="0" w:color="000000"/>
            </w:tcBorders>
            <w:vAlign w:val="center"/>
          </w:tcPr>
          <w:p>
            <w:pPr>
              <w:pStyle w:val="TableContents"/>
              <w:rPr/>
            </w:pPr>
            <w:r>
              <w:rPr/>
              <w:t>110</w:t>
            </w:r>
          </w:p>
        </w:tc>
        <w:tc>
          <w:tcPr>
            <w:tcW w:w="985" w:type="dxa"/>
            <w:tcBorders>
              <w:start w:val="single" w:sz="4" w:space="0" w:color="000000"/>
              <w:bottom w:val="single" w:sz="4" w:space="0" w:color="000000"/>
            </w:tcBorders>
            <w:vAlign w:val="center"/>
          </w:tcPr>
          <w:p>
            <w:pPr>
              <w:pStyle w:val="TableContents"/>
              <w:rPr/>
            </w:pPr>
            <w:r>
              <w:rPr/>
              <w:t>32</w:t>
            </w:r>
          </w:p>
        </w:tc>
        <w:tc>
          <w:tcPr>
            <w:tcW w:w="1597" w:type="dxa"/>
            <w:tcBorders>
              <w:start w:val="single" w:sz="4" w:space="0" w:color="000000"/>
              <w:bottom w:val="single" w:sz="4" w:space="0" w:color="000000"/>
            </w:tcBorders>
            <w:vAlign w:val="center"/>
          </w:tcPr>
          <w:p>
            <w:pPr>
              <w:pStyle w:val="TableContents"/>
              <w:rPr/>
            </w:pPr>
            <w:r>
              <w:rPr/>
              <w:t>Structural</w:t>
            </w:r>
          </w:p>
        </w:tc>
        <w:tc>
          <w:tcPr>
            <w:tcW w:w="3921" w:type="dxa"/>
            <w:tcBorders>
              <w:start w:val="single" w:sz="4" w:space="0" w:color="000000"/>
              <w:bottom w:val="single" w:sz="4" w:space="0" w:color="000000"/>
            </w:tcBorders>
            <w:vAlign w:val="center"/>
          </w:tcPr>
          <w:p>
            <w:pPr>
              <w:pStyle w:val="TableContents"/>
              <w:rPr/>
            </w:pPr>
            <w:r>
              <w:rPr/>
              <w:t>Structural stability assessment - no consequences for non-compliance.</w:t>
            </w:r>
          </w:p>
        </w:tc>
        <w:tc>
          <w:tcPr>
            <w:tcW w:w="4546" w:type="dxa"/>
            <w:tcBorders>
              <w:start w:val="single" w:sz="4" w:space="0" w:color="000000"/>
              <w:bottom w:val="single" w:sz="4" w:space="0" w:color="000000"/>
            </w:tcBorders>
            <w:vAlign w:val="center"/>
          </w:tcPr>
          <w:p>
            <w:pPr>
              <w:pStyle w:val="TableContents"/>
              <w:rPr/>
            </w:pPr>
            <w:r>
              <w:rPr/>
              <w:t>Add enforcement mechanism: penalties for failure to conduct assessment; automatic referral to CA if assessment not conducted.</w:t>
            </w:r>
          </w:p>
        </w:tc>
        <w:tc>
          <w:tcPr>
            <w:tcW w:w="4402" w:type="dxa"/>
            <w:tcBorders>
              <w:start w:val="single" w:sz="4" w:space="0" w:color="000000"/>
              <w:bottom w:val="single" w:sz="4" w:space="0" w:color="000000"/>
              <w:end w:val="single" w:sz="4" w:space="0" w:color="000000"/>
            </w:tcBorders>
            <w:vAlign w:val="center"/>
          </w:tcPr>
          <w:p>
            <w:pPr>
              <w:pStyle w:val="TableContents"/>
              <w:rPr/>
            </w:pPr>
            <w:r>
              <w:rPr/>
              <w:t>Without consequences, requirement is toothless.</w:t>
            </w:r>
          </w:p>
        </w:tc>
      </w:tr>
      <w:tr>
        <w:trPr>
          <w:cantSplit/>
        </w:trPr>
        <w:tc>
          <w:tcPr>
            <w:tcW w:w="481" w:type="dxa"/>
            <w:tcBorders>
              <w:start w:val="single" w:sz="4" w:space="0" w:color="000000"/>
              <w:bottom w:val="single" w:sz="4" w:space="0" w:color="000000"/>
            </w:tcBorders>
            <w:vAlign w:val="center"/>
          </w:tcPr>
          <w:p>
            <w:pPr>
              <w:pStyle w:val="TableContents"/>
              <w:rPr/>
            </w:pPr>
            <w:r>
              <w:rPr/>
              <w:t>111</w:t>
            </w:r>
          </w:p>
        </w:tc>
        <w:tc>
          <w:tcPr>
            <w:tcW w:w="985" w:type="dxa"/>
            <w:tcBorders>
              <w:start w:val="single" w:sz="4" w:space="0" w:color="000000"/>
              <w:bottom w:val="single" w:sz="4" w:space="0" w:color="000000"/>
            </w:tcBorders>
            <w:vAlign w:val="center"/>
          </w:tcPr>
          <w:p>
            <w:pPr>
              <w:pStyle w:val="TableContents"/>
              <w:rPr/>
            </w:pPr>
            <w:r>
              <w:rPr/>
              <w:t>32(2)</w:t>
            </w:r>
          </w:p>
        </w:tc>
        <w:tc>
          <w:tcPr>
            <w:tcW w:w="1597" w:type="dxa"/>
            <w:tcBorders>
              <w:start w:val="single" w:sz="4" w:space="0" w:color="000000"/>
              <w:bottom w:val="single" w:sz="4" w:space="0" w:color="000000"/>
            </w:tcBorders>
            <w:vAlign w:val="center"/>
          </w:tcPr>
          <w:p>
            <w:pPr>
              <w:pStyle w:val="TableContents"/>
              <w:rPr/>
            </w:pPr>
            <w:r>
              <w:rPr/>
              <w:t>Structural</w:t>
            </w:r>
          </w:p>
        </w:tc>
        <w:tc>
          <w:tcPr>
            <w:tcW w:w="3921" w:type="dxa"/>
            <w:tcBorders>
              <w:start w:val="single" w:sz="4" w:space="0" w:color="000000"/>
              <w:bottom w:val="single" w:sz="4" w:space="0" w:color="000000"/>
            </w:tcBorders>
            <w:vAlign w:val="center"/>
          </w:tcPr>
          <w:p>
            <w:pPr>
              <w:pStyle w:val="TableContents"/>
              <w:rPr/>
            </w:pPr>
            <w:r>
              <w:rPr/>
              <w:t>No objective criteria for classifying buildings as safe, conditionally safe, or unsafe.</w:t>
            </w:r>
          </w:p>
        </w:tc>
        <w:tc>
          <w:tcPr>
            <w:tcW w:w="4546" w:type="dxa"/>
            <w:tcBorders>
              <w:start w:val="single" w:sz="4" w:space="0" w:color="000000"/>
              <w:bottom w:val="single" w:sz="4" w:space="0" w:color="000000"/>
            </w:tcBorders>
            <w:vAlign w:val="center"/>
          </w:tcPr>
          <w:p>
            <w:pPr>
              <w:pStyle w:val="TableContents"/>
              <w:rPr/>
            </w:pPr>
            <w:r>
              <w:rPr/>
              <w:t>Prescribe objective criteria in rules.</w:t>
            </w:r>
          </w:p>
        </w:tc>
        <w:tc>
          <w:tcPr>
            <w:tcW w:w="4402" w:type="dxa"/>
            <w:tcBorders>
              <w:start w:val="single" w:sz="4" w:space="0" w:color="000000"/>
              <w:bottom w:val="single" w:sz="4" w:space="0" w:color="000000"/>
              <w:end w:val="single" w:sz="4" w:space="0" w:color="000000"/>
            </w:tcBorders>
            <w:vAlign w:val="center"/>
          </w:tcPr>
          <w:p>
            <w:pPr>
              <w:pStyle w:val="TableContents"/>
              <w:rPr/>
            </w:pPr>
            <w:r>
              <w:rPr/>
              <w:t>Absence of clear standards opens door to arbitrary decisions and large-scale corruption.</w:t>
            </w:r>
          </w:p>
        </w:tc>
      </w:tr>
      <w:tr>
        <w:trPr>
          <w:cantSplit/>
        </w:trPr>
        <w:tc>
          <w:tcPr>
            <w:tcW w:w="481" w:type="dxa"/>
            <w:tcBorders>
              <w:start w:val="single" w:sz="4" w:space="0" w:color="000000"/>
              <w:bottom w:val="single" w:sz="4" w:space="0" w:color="000000"/>
            </w:tcBorders>
            <w:vAlign w:val="center"/>
          </w:tcPr>
          <w:p>
            <w:pPr>
              <w:pStyle w:val="TableContents"/>
              <w:rPr/>
            </w:pPr>
            <w:r>
              <w:rPr/>
              <w:t>112</w:t>
            </w:r>
          </w:p>
        </w:tc>
        <w:tc>
          <w:tcPr>
            <w:tcW w:w="985" w:type="dxa"/>
            <w:tcBorders>
              <w:start w:val="single" w:sz="4" w:space="0" w:color="000000"/>
              <w:bottom w:val="single" w:sz="4" w:space="0" w:color="000000"/>
            </w:tcBorders>
            <w:vAlign w:val="center"/>
          </w:tcPr>
          <w:p>
            <w:pPr>
              <w:pStyle w:val="TableContents"/>
              <w:rPr/>
            </w:pPr>
            <w:r>
              <w:rPr/>
              <w:t>33(2)(b)</w:t>
            </w:r>
          </w:p>
        </w:tc>
        <w:tc>
          <w:tcPr>
            <w:tcW w:w="1597" w:type="dxa"/>
            <w:tcBorders>
              <w:start w:val="single" w:sz="4" w:space="0" w:color="000000"/>
              <w:bottom w:val="single" w:sz="4" w:space="0" w:color="000000"/>
            </w:tcBorders>
            <w:vAlign w:val="center"/>
          </w:tcPr>
          <w:p>
            <w:pPr>
              <w:pStyle w:val="TableContents"/>
              <w:rPr/>
            </w:pPr>
            <w:r>
              <w:rPr/>
              <w:t>Governance</w:t>
            </w:r>
          </w:p>
        </w:tc>
        <w:tc>
          <w:tcPr>
            <w:tcW w:w="3921" w:type="dxa"/>
            <w:tcBorders>
              <w:start w:val="single" w:sz="4" w:space="0" w:color="000000"/>
              <w:bottom w:val="single" w:sz="4" w:space="0" w:color="000000"/>
            </w:tcBorders>
            <w:vAlign w:val="center"/>
          </w:tcPr>
          <w:p>
            <w:pPr>
              <w:pStyle w:val="TableContents"/>
              <w:rPr/>
            </w:pPr>
            <w:r>
              <w:rPr/>
              <w:t>Federation voting - lacks specifics on how member associations vote in federation.</w:t>
            </w:r>
          </w:p>
        </w:tc>
        <w:tc>
          <w:tcPr>
            <w:tcW w:w="4546" w:type="dxa"/>
            <w:tcBorders>
              <w:start w:val="single" w:sz="4" w:space="0" w:color="000000"/>
              <w:bottom w:val="single" w:sz="4" w:space="0" w:color="000000"/>
            </w:tcBorders>
            <w:vAlign w:val="center"/>
          </w:tcPr>
          <w:p>
            <w:pPr>
              <w:pStyle w:val="TableContents"/>
              <w:rPr/>
            </w:pPr>
            <w:r>
              <w:rPr/>
              <w:t>Add details in rules or Act.</w:t>
            </w:r>
          </w:p>
        </w:tc>
        <w:tc>
          <w:tcPr>
            <w:tcW w:w="4402" w:type="dxa"/>
            <w:tcBorders>
              <w:start w:val="single" w:sz="4" w:space="0" w:color="000000"/>
              <w:bottom w:val="single" w:sz="4" w:space="0" w:color="000000"/>
              <w:end w:val="single" w:sz="4" w:space="0" w:color="000000"/>
            </w:tcBorders>
            <w:vAlign w:val="center"/>
          </w:tcPr>
          <w:p>
            <w:pPr>
              <w:pStyle w:val="TableContents"/>
              <w:rPr/>
            </w:pPr>
            <w:r>
              <w:rPr/>
              <w:t>Without specifics, voting disputes arise.</w:t>
            </w:r>
          </w:p>
        </w:tc>
      </w:tr>
      <w:tr>
        <w:trPr>
          <w:cantSplit/>
        </w:trPr>
        <w:tc>
          <w:tcPr>
            <w:tcW w:w="481" w:type="dxa"/>
            <w:tcBorders>
              <w:start w:val="single" w:sz="4" w:space="0" w:color="000000"/>
              <w:bottom w:val="single" w:sz="4" w:space="0" w:color="000000"/>
            </w:tcBorders>
            <w:vAlign w:val="center"/>
          </w:tcPr>
          <w:p>
            <w:pPr>
              <w:pStyle w:val="TableContents"/>
              <w:rPr/>
            </w:pPr>
            <w:r>
              <w:rPr/>
              <w:t>113</w:t>
            </w:r>
          </w:p>
        </w:tc>
        <w:tc>
          <w:tcPr>
            <w:tcW w:w="985" w:type="dxa"/>
            <w:tcBorders>
              <w:start w:val="single" w:sz="4" w:space="0" w:color="000000"/>
              <w:bottom w:val="single" w:sz="4" w:space="0" w:color="000000"/>
            </w:tcBorders>
            <w:vAlign w:val="center"/>
          </w:tcPr>
          <w:p>
            <w:pPr>
              <w:pStyle w:val="TableContents"/>
              <w:rPr/>
            </w:pPr>
            <w:r>
              <w:rPr/>
              <w:t>33</w:t>
            </w:r>
          </w:p>
        </w:tc>
        <w:tc>
          <w:tcPr>
            <w:tcW w:w="1597" w:type="dxa"/>
            <w:tcBorders>
              <w:start w:val="single" w:sz="4" w:space="0" w:color="000000"/>
              <w:bottom w:val="single" w:sz="4" w:space="0" w:color="000000"/>
            </w:tcBorders>
            <w:vAlign w:val="center"/>
          </w:tcPr>
          <w:p>
            <w:pPr>
              <w:pStyle w:val="TableContents"/>
              <w:rPr/>
            </w:pPr>
            <w:r>
              <w:rPr/>
              <w:t>Procedural/Governance</w:t>
            </w:r>
          </w:p>
        </w:tc>
        <w:tc>
          <w:tcPr>
            <w:tcW w:w="3921" w:type="dxa"/>
            <w:tcBorders>
              <w:start w:val="single" w:sz="4" w:space="0" w:color="000000"/>
              <w:bottom w:val="single" w:sz="4" w:space="0" w:color="000000"/>
            </w:tcBorders>
            <w:vAlign w:val="center"/>
          </w:tcPr>
          <w:p>
            <w:pPr>
              <w:pStyle w:val="TableContents"/>
              <w:rPr/>
            </w:pPr>
            <w:r>
              <w:rPr/>
              <w:t>The trigger for drafting bye-laws is not defined with sufficient clarity. No mechanism for agreement-stage drafting by promoter in consultation with majority allottees.</w:t>
            </w:r>
          </w:p>
        </w:tc>
        <w:tc>
          <w:tcPr>
            <w:tcW w:w="4546" w:type="dxa"/>
            <w:tcBorders>
              <w:start w:val="single" w:sz="4" w:space="0" w:color="000000"/>
              <w:bottom w:val="single" w:sz="4" w:space="0" w:color="000000"/>
            </w:tcBorders>
            <w:vAlign w:val="center"/>
          </w:tcPr>
          <w:p>
            <w:pPr>
              <w:pStyle w:val="TableContents"/>
              <w:rPr/>
            </w:pPr>
            <w:r>
              <w:rPr/>
              <w:t>Insert new Section 33: "The initial draft of the bye-laws shall be prepared---(a) by the promoter, in consultation with a majority of the allottees who have entered into agreements for sale, where an association is to be formed; or (b) by a majority of the executive committee members of all the associations comprising a federation, where a federation is to be formed."</w:t>
            </w:r>
          </w:p>
        </w:tc>
        <w:tc>
          <w:tcPr>
            <w:tcW w:w="4402" w:type="dxa"/>
            <w:tcBorders>
              <w:start w:val="single" w:sz="4" w:space="0" w:color="000000"/>
              <w:bottom w:val="single" w:sz="4" w:space="0" w:color="000000"/>
              <w:end w:val="single" w:sz="4" w:space="0" w:color="000000"/>
            </w:tcBorders>
            <w:vAlign w:val="center"/>
          </w:tcPr>
          <w:p>
            <w:pPr>
              <w:pStyle w:val="TableContents"/>
              <w:rPr/>
            </w:pPr>
            <w:r>
              <w:rPr/>
              <w:t>Without a defined drafting trigger with clear majority, the bye-laws are either drafted unilaterally by the promoter or left to the association after possession, creating governance vacuum during the critical period between booking and possession.</w:t>
            </w:r>
          </w:p>
        </w:tc>
      </w:tr>
      <w:tr>
        <w:trPr>
          <w:cantSplit/>
        </w:trPr>
        <w:tc>
          <w:tcPr>
            <w:tcW w:w="481" w:type="dxa"/>
            <w:tcBorders>
              <w:start w:val="single" w:sz="4" w:space="0" w:color="000000"/>
              <w:bottom w:val="single" w:sz="4" w:space="0" w:color="000000"/>
            </w:tcBorders>
            <w:vAlign w:val="center"/>
          </w:tcPr>
          <w:p>
            <w:pPr>
              <w:pStyle w:val="TableContents"/>
              <w:rPr/>
            </w:pPr>
            <w:r>
              <w:rPr/>
              <w:t>114</w:t>
            </w:r>
          </w:p>
        </w:tc>
        <w:tc>
          <w:tcPr>
            <w:tcW w:w="985" w:type="dxa"/>
            <w:tcBorders>
              <w:start w:val="single" w:sz="4" w:space="0" w:color="000000"/>
              <w:bottom w:val="single" w:sz="4" w:space="0" w:color="000000"/>
            </w:tcBorders>
            <w:vAlign w:val="center"/>
          </w:tcPr>
          <w:p>
            <w:pPr>
              <w:pStyle w:val="TableContents"/>
              <w:rPr/>
            </w:pPr>
            <w:r>
              <w:rPr/>
              <w:t>34</w:t>
            </w:r>
          </w:p>
        </w:tc>
        <w:tc>
          <w:tcPr>
            <w:tcW w:w="1597" w:type="dxa"/>
            <w:tcBorders>
              <w:start w:val="single" w:sz="4" w:space="0" w:color="000000"/>
              <w:bottom w:val="single" w:sz="4" w:space="0" w:color="000000"/>
            </w:tcBorders>
            <w:vAlign w:val="center"/>
          </w:tcPr>
          <w:p>
            <w:pPr>
              <w:pStyle w:val="TableContents"/>
              <w:rPr/>
            </w:pPr>
            <w:r>
              <w:rPr/>
              <w:t>Governance/Delegation</w:t>
            </w:r>
          </w:p>
        </w:tc>
        <w:tc>
          <w:tcPr>
            <w:tcW w:w="3921" w:type="dxa"/>
            <w:tcBorders>
              <w:start w:val="single" w:sz="4" w:space="0" w:color="000000"/>
              <w:bottom w:val="single" w:sz="4" w:space="0" w:color="000000"/>
            </w:tcBorders>
            <w:vAlign w:val="center"/>
          </w:tcPr>
          <w:p>
            <w:pPr>
              <w:pStyle w:val="TableContents"/>
              <w:rPr/>
            </w:pPr>
            <w:r>
              <w:rPr/>
              <w:t>Section 34 does not clearly establish the delegation framework: Act provides mandatory framework; Rules and Model Bye-laws provide operational details. This creates confusion about what must be in the Act vs. what can be in Rules/Model Bye-laws.</w:t>
            </w:r>
          </w:p>
        </w:tc>
        <w:tc>
          <w:tcPr>
            <w:tcW w:w="4546" w:type="dxa"/>
            <w:tcBorders>
              <w:start w:val="single" w:sz="4" w:space="0" w:color="000000"/>
              <w:bottom w:val="single" w:sz="4" w:space="0" w:color="000000"/>
            </w:tcBorders>
            <w:vAlign w:val="center"/>
          </w:tcPr>
          <w:p>
            <w:pPr>
              <w:pStyle w:val="TableContents"/>
              <w:rPr/>
            </w:pPr>
            <w:r>
              <w:rPr/>
              <w:t>Amend Section 34 to establish: (1) Bye-laws shall, at a minimum, make adequate and effective provision for all matters specified in this section. (2) The exact operational details (e.g., exact quorum percentages, voting rights of promoters, percentage for Capital Fund) shall be provided in the Rules and Model Bye-laws.</w:t>
            </w:r>
          </w:p>
        </w:tc>
        <w:tc>
          <w:tcPr>
            <w:tcW w:w="4402" w:type="dxa"/>
            <w:tcBorders>
              <w:start w:val="single" w:sz="4" w:space="0" w:color="000000"/>
              <w:bottom w:val="single" w:sz="4" w:space="0" w:color="000000"/>
              <w:end w:val="single" w:sz="4" w:space="0" w:color="000000"/>
            </w:tcBorders>
            <w:vAlign w:val="center"/>
          </w:tcPr>
          <w:p>
            <w:pPr>
              <w:pStyle w:val="TableContents"/>
              <w:rPr/>
            </w:pPr>
            <w:r>
              <w:rPr/>
              <w:t>Without clear delegation, associations either have overly detailed bye-laws that are difficult to amend, or overly vague bye-laws that don't provide operational guidance. The "Skeleton + Flesh" architecture ensures the Act provides non-negotiable framework while Rules/Model Bye-laws provide flexible operational details.</w:t>
            </w:r>
          </w:p>
        </w:tc>
      </w:tr>
      <w:tr>
        <w:trPr>
          <w:cantSplit/>
        </w:trPr>
        <w:tc>
          <w:tcPr>
            <w:tcW w:w="481" w:type="dxa"/>
            <w:tcBorders>
              <w:start w:val="single" w:sz="4" w:space="0" w:color="000000"/>
              <w:bottom w:val="single" w:sz="4" w:space="0" w:color="000000"/>
            </w:tcBorders>
            <w:vAlign w:val="center"/>
          </w:tcPr>
          <w:p>
            <w:pPr>
              <w:pStyle w:val="TableContents"/>
              <w:rPr/>
            </w:pPr>
            <w:r>
              <w:rPr/>
              <w:t>115</w:t>
            </w:r>
          </w:p>
        </w:tc>
        <w:tc>
          <w:tcPr>
            <w:tcW w:w="985" w:type="dxa"/>
            <w:tcBorders>
              <w:start w:val="single" w:sz="4" w:space="0" w:color="000000"/>
              <w:bottom w:val="single" w:sz="4" w:space="0" w:color="000000"/>
            </w:tcBorders>
            <w:vAlign w:val="center"/>
          </w:tcPr>
          <w:p>
            <w:pPr>
              <w:pStyle w:val="TableContents"/>
              <w:rPr/>
            </w:pPr>
            <w:r>
              <w:rPr/>
              <w:t>34</w:t>
            </w:r>
          </w:p>
        </w:tc>
        <w:tc>
          <w:tcPr>
            <w:tcW w:w="1597" w:type="dxa"/>
            <w:tcBorders>
              <w:start w:val="single" w:sz="4" w:space="0" w:color="000000"/>
              <w:bottom w:val="single" w:sz="4" w:space="0" w:color="000000"/>
            </w:tcBorders>
            <w:vAlign w:val="center"/>
          </w:tcPr>
          <w:p>
            <w:pPr>
              <w:pStyle w:val="TableContents"/>
              <w:rPr/>
            </w:pPr>
            <w:r>
              <w:rPr/>
              <w:t>Governance/Procedural</w:t>
            </w:r>
          </w:p>
        </w:tc>
        <w:tc>
          <w:tcPr>
            <w:tcW w:w="3921" w:type="dxa"/>
            <w:tcBorders>
              <w:start w:val="single" w:sz="4" w:space="0" w:color="000000"/>
              <w:bottom w:val="single" w:sz="4" w:space="0" w:color="000000"/>
            </w:tcBorders>
            <w:vAlign w:val="center"/>
          </w:tcPr>
          <w:p>
            <w:pPr>
              <w:pStyle w:val="TableContents"/>
              <w:rPr/>
            </w:pPr>
            <w:r>
              <w:rPr/>
              <w:t>Submission of bye-laws linked to execution of conveyance deed (2-5 years after booking). By this time, project is substantially occupied and operational. CA should review bye-laws before booking commences.</w:t>
            </w:r>
          </w:p>
        </w:tc>
        <w:tc>
          <w:tcPr>
            <w:tcW w:w="4546" w:type="dxa"/>
            <w:tcBorders>
              <w:start w:val="single" w:sz="4" w:space="0" w:color="000000"/>
              <w:bottom w:val="single" w:sz="4" w:space="0" w:color="000000"/>
            </w:tcBorders>
            <w:vAlign w:val="center"/>
          </w:tcPr>
          <w:p>
            <w:pPr>
              <w:pStyle w:val="TableContents"/>
              <w:rPr/>
            </w:pPr>
            <w:r>
              <w:rPr/>
              <w:t>Change trigger to: "prior to the formation of the association under Section 21 (i.e., majority allotment)"</w:t>
            </w:r>
          </w:p>
        </w:tc>
        <w:tc>
          <w:tcPr>
            <w:tcW w:w="4402" w:type="dxa"/>
            <w:tcBorders>
              <w:start w:val="single" w:sz="4" w:space="0" w:color="000000"/>
              <w:bottom w:val="single" w:sz="4" w:space="0" w:color="000000"/>
              <w:end w:val="single" w:sz="4" w:space="0" w:color="000000"/>
            </w:tcBorders>
            <w:vAlign w:val="center"/>
          </w:tcPr>
          <w:p>
            <w:pPr>
              <w:pStyle w:val="TableContents"/>
              <w:rPr/>
            </w:pPr>
            <w:r>
              <w:rPr/>
              <w:t>Fixes the disastrous "execution of conveyance deed" trigger and replaces it with "formation of association" (majority booking), eliminating 2-5 year delay.</w:t>
            </w:r>
          </w:p>
        </w:tc>
      </w:tr>
      <w:tr>
        <w:trPr>
          <w:cantSplit/>
        </w:trPr>
        <w:tc>
          <w:tcPr>
            <w:tcW w:w="481" w:type="dxa"/>
            <w:tcBorders>
              <w:start w:val="single" w:sz="4" w:space="0" w:color="000000"/>
              <w:bottom w:val="single" w:sz="4" w:space="0" w:color="000000"/>
            </w:tcBorders>
            <w:vAlign w:val="center"/>
          </w:tcPr>
          <w:p>
            <w:pPr>
              <w:pStyle w:val="TableContents"/>
              <w:rPr/>
            </w:pPr>
            <w:r>
              <w:rPr/>
              <w:t>116</w:t>
            </w:r>
          </w:p>
        </w:tc>
        <w:tc>
          <w:tcPr>
            <w:tcW w:w="985" w:type="dxa"/>
            <w:tcBorders>
              <w:start w:val="single" w:sz="4" w:space="0" w:color="000000"/>
              <w:bottom w:val="single" w:sz="4" w:space="0" w:color="000000"/>
            </w:tcBorders>
            <w:vAlign w:val="center"/>
          </w:tcPr>
          <w:p>
            <w:pPr>
              <w:pStyle w:val="TableContents"/>
              <w:rPr/>
            </w:pPr>
            <w:r>
              <w:rPr/>
              <w:t>34(1)</w:t>
            </w:r>
          </w:p>
        </w:tc>
        <w:tc>
          <w:tcPr>
            <w:tcW w:w="1597" w:type="dxa"/>
            <w:tcBorders>
              <w:start w:val="single" w:sz="4" w:space="0" w:color="000000"/>
              <w:bottom w:val="single" w:sz="4" w:space="0" w:color="000000"/>
            </w:tcBorders>
            <w:vAlign w:val="center"/>
          </w:tcPr>
          <w:p>
            <w:pPr>
              <w:pStyle w:val="TableContents"/>
              <w:rPr/>
            </w:pPr>
            <w:r>
              <w:rPr/>
              <w:t>Procedural/Governance</w:t>
            </w:r>
          </w:p>
        </w:tc>
        <w:tc>
          <w:tcPr>
            <w:tcW w:w="3921" w:type="dxa"/>
            <w:tcBorders>
              <w:start w:val="single" w:sz="4" w:space="0" w:color="000000"/>
              <w:bottom w:val="single" w:sz="4" w:space="0" w:color="000000"/>
            </w:tcBorders>
            <w:vAlign w:val="center"/>
          </w:tcPr>
          <w:p>
            <w:pPr>
              <w:pStyle w:val="TableContents"/>
              <w:rPr/>
            </w:pPr>
            <w:r>
              <w:rPr/>
              <w:t>Competent Authority can declare model bye-laws applicable only "upon application" - not suo motu.</w:t>
            </w:r>
          </w:p>
        </w:tc>
        <w:tc>
          <w:tcPr>
            <w:tcW w:w="4546" w:type="dxa"/>
            <w:tcBorders>
              <w:start w:val="single" w:sz="4" w:space="0" w:color="000000"/>
              <w:bottom w:val="single" w:sz="4" w:space="0" w:color="000000"/>
            </w:tcBorders>
            <w:vAlign w:val="center"/>
          </w:tcPr>
          <w:p>
            <w:pPr>
              <w:pStyle w:val="TableContents"/>
              <w:rPr/>
            </w:pPr>
            <w:r>
              <w:rPr/>
              <w:t>Add: "Provided that where the promoter or allottees fail to submit bye-laws, the competent authority may, either on an application by the association or suo motu, declare the model bye-laws to be applicable."</w:t>
            </w:r>
          </w:p>
        </w:tc>
        <w:tc>
          <w:tcPr>
            <w:tcW w:w="4402" w:type="dxa"/>
            <w:tcBorders>
              <w:start w:val="single" w:sz="4" w:space="0" w:color="000000"/>
              <w:bottom w:val="single" w:sz="4" w:space="0" w:color="000000"/>
              <w:end w:val="single" w:sz="4" w:space="0" w:color="000000"/>
            </w:tcBorders>
            <w:vAlign w:val="center"/>
          </w:tcPr>
          <w:p>
            <w:pPr>
              <w:pStyle w:val="TableContents"/>
              <w:rPr/>
            </w:pPr>
            <w:r>
              <w:rPr/>
              <w:t>Creates passive, complaint-driven regime rather than proactive regulatory oversight.</w:t>
            </w:r>
          </w:p>
        </w:tc>
      </w:tr>
      <w:tr>
        <w:trPr>
          <w:cantSplit/>
        </w:trPr>
        <w:tc>
          <w:tcPr>
            <w:tcW w:w="481" w:type="dxa"/>
            <w:tcBorders>
              <w:start w:val="single" w:sz="4" w:space="0" w:color="000000"/>
              <w:bottom w:val="single" w:sz="4" w:space="0" w:color="000000"/>
            </w:tcBorders>
            <w:vAlign w:val="center"/>
          </w:tcPr>
          <w:p>
            <w:pPr>
              <w:pStyle w:val="TableContents"/>
              <w:rPr/>
            </w:pPr>
            <w:r>
              <w:rPr/>
              <w:t>117</w:t>
            </w:r>
          </w:p>
        </w:tc>
        <w:tc>
          <w:tcPr>
            <w:tcW w:w="985" w:type="dxa"/>
            <w:tcBorders>
              <w:start w:val="single" w:sz="4" w:space="0" w:color="000000"/>
              <w:bottom w:val="single" w:sz="4" w:space="0" w:color="000000"/>
            </w:tcBorders>
            <w:vAlign w:val="center"/>
          </w:tcPr>
          <w:p>
            <w:pPr>
              <w:pStyle w:val="TableContents"/>
              <w:rPr/>
            </w:pPr>
            <w:r>
              <w:rPr/>
              <w:t>34(2)</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"Deemed approval" if CA doesn't respond within 30 days.</w:t>
            </w:r>
          </w:p>
        </w:tc>
        <w:tc>
          <w:tcPr>
            <w:tcW w:w="4546" w:type="dxa"/>
            <w:tcBorders>
              <w:start w:val="single" w:sz="4" w:space="0" w:color="000000"/>
              <w:bottom w:val="single" w:sz="4" w:space="0" w:color="000000"/>
            </w:tcBorders>
            <w:vAlign w:val="center"/>
          </w:tcPr>
          <w:p>
            <w:pPr>
              <w:pStyle w:val="TableContents"/>
              <w:rPr/>
            </w:pPr>
            <w:r>
              <w:rPr/>
              <w:t>Remove deemed approval clauses entirely. If CA fails to respond, applicant should have right to approach Appellate Authority for mandamus.</w:t>
            </w:r>
          </w:p>
        </w:tc>
        <w:tc>
          <w:tcPr>
            <w:tcW w:w="4402" w:type="dxa"/>
            <w:tcBorders>
              <w:start w:val="single" w:sz="4" w:space="0" w:color="000000"/>
              <w:bottom w:val="single" w:sz="4" w:space="0" w:color="000000"/>
              <w:end w:val="single" w:sz="4" w:space="0" w:color="000000"/>
            </w:tcBorders>
            <w:vAlign w:val="center"/>
          </w:tcPr>
          <w:p>
            <w:pPr>
              <w:pStyle w:val="TableContents"/>
              <w:rPr/>
            </w:pPr>
            <w:r>
              <w:rPr/>
              <w:t>Different context from RERA. RERA's deemed approval is for project registration (pre-sale). KAOMA's is for bye-laws (post-sale). No check on CA. CA can ignore applications. No appellate mechanism.</w:t>
            </w:r>
          </w:p>
        </w:tc>
      </w:tr>
      <w:tr>
        <w:trPr>
          <w:cantSplit/>
        </w:trPr>
        <w:tc>
          <w:tcPr>
            <w:tcW w:w="481" w:type="dxa"/>
            <w:tcBorders>
              <w:start w:val="single" w:sz="4" w:space="0" w:color="000000"/>
              <w:bottom w:val="single" w:sz="4" w:space="0" w:color="000000"/>
            </w:tcBorders>
            <w:vAlign w:val="center"/>
          </w:tcPr>
          <w:p>
            <w:pPr>
              <w:pStyle w:val="TableContents"/>
              <w:rPr/>
            </w:pPr>
            <w:r>
              <w:rPr/>
              <w:t>118</w:t>
            </w:r>
          </w:p>
        </w:tc>
        <w:tc>
          <w:tcPr>
            <w:tcW w:w="985" w:type="dxa"/>
            <w:tcBorders>
              <w:start w:val="single" w:sz="4" w:space="0" w:color="000000"/>
              <w:bottom w:val="single" w:sz="4" w:space="0" w:color="000000"/>
            </w:tcBorders>
            <w:vAlign w:val="center"/>
          </w:tcPr>
          <w:p>
            <w:pPr>
              <w:pStyle w:val="TableContents"/>
              <w:rPr/>
            </w:pPr>
            <w:r>
              <w:rPr/>
              <w:t>34(2)</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Deemed approval provisions create enforcement voids.</w:t>
            </w:r>
          </w:p>
        </w:tc>
        <w:tc>
          <w:tcPr>
            <w:tcW w:w="4546" w:type="dxa"/>
            <w:tcBorders>
              <w:start w:val="single" w:sz="4" w:space="0" w:color="000000"/>
              <w:bottom w:val="single" w:sz="4" w:space="0" w:color="000000"/>
            </w:tcBorders>
            <w:vAlign w:val="center"/>
          </w:tcPr>
          <w:p>
            <w:pPr>
              <w:pStyle w:val="TableContents"/>
              <w:rPr/>
            </w:pPr>
            <w:r>
              <w:rPr/>
              <w:t>Remove deemed approval clauses; require CA action.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Deemed approval allows CA to be bypassed by inaction.</w:t>
            </w:r>
          </w:p>
        </w:tc>
      </w:tr>
      <w:tr>
        <w:trPr>
          <w:cantSplit/>
        </w:trPr>
        <w:tc>
          <w:tcPr>
            <w:tcW w:w="481" w:type="dxa"/>
            <w:tcBorders>
              <w:start w:val="single" w:sz="4" w:space="0" w:color="000000"/>
              <w:bottom w:val="single" w:sz="4" w:space="0" w:color="000000"/>
            </w:tcBorders>
            <w:vAlign w:val="center"/>
          </w:tcPr>
          <w:p>
            <w:pPr>
              <w:pStyle w:val="TableContents"/>
              <w:rPr/>
            </w:pPr>
            <w:r>
              <w:rPr/>
              <w:t>119</w:t>
            </w:r>
          </w:p>
        </w:tc>
        <w:tc>
          <w:tcPr>
            <w:tcW w:w="985" w:type="dxa"/>
            <w:tcBorders>
              <w:start w:val="single" w:sz="4" w:space="0" w:color="000000"/>
              <w:bottom w:val="single" w:sz="4" w:space="0" w:color="000000"/>
            </w:tcBorders>
            <w:vAlign w:val="center"/>
          </w:tcPr>
          <w:p>
            <w:pPr>
              <w:pStyle w:val="TableContents"/>
              <w:rPr/>
            </w:pPr>
            <w:r>
              <w:rPr/>
              <w:t>34(2), 35(4)</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"Deemed approval" if delayed - no mechanism to appeal.</w:t>
            </w:r>
          </w:p>
        </w:tc>
        <w:tc>
          <w:tcPr>
            <w:tcW w:w="4546" w:type="dxa"/>
            <w:tcBorders>
              <w:start w:val="single" w:sz="4" w:space="0" w:color="000000"/>
              <w:bottom w:val="single" w:sz="4" w:space="0" w:color="000000"/>
            </w:tcBorders>
            <w:vAlign w:val="center"/>
          </w:tcPr>
          <w:p>
            <w:pPr>
              <w:pStyle w:val="TableContents"/>
              <w:rPr/>
            </w:pPr>
            <w:r>
              <w:rPr/>
              <w:t>Remove deemed approval clauses. If CA fails to respond, applicant may approach Appellate Authority for mandamus.</w:t>
            </w:r>
          </w:p>
        </w:tc>
        <w:tc>
          <w:tcPr>
            <w:tcW w:w="4402" w:type="dxa"/>
            <w:tcBorders>
              <w:start w:val="single" w:sz="4" w:space="0" w:color="000000"/>
              <w:bottom w:val="single" w:sz="4" w:space="0" w:color="000000"/>
              <w:end w:val="single" w:sz="4" w:space="0" w:color="000000"/>
            </w:tcBorders>
            <w:vAlign w:val="center"/>
          </w:tcPr>
          <w:p>
            <w:pPr>
              <w:pStyle w:val="TableContents"/>
              <w:rPr/>
            </w:pPr>
            <w:r>
              <w:rPr/>
              <w:t>No check on CA. CA can simply ignore applications.</w:t>
            </w:r>
          </w:p>
        </w:tc>
      </w:tr>
      <w:tr>
        <w:trPr>
          <w:cantSplit/>
        </w:trPr>
        <w:tc>
          <w:tcPr>
            <w:tcW w:w="481" w:type="dxa"/>
            <w:tcBorders>
              <w:start w:val="single" w:sz="4" w:space="0" w:color="000000"/>
              <w:bottom w:val="single" w:sz="4" w:space="0" w:color="000000"/>
            </w:tcBorders>
            <w:vAlign w:val="center"/>
          </w:tcPr>
          <w:p>
            <w:pPr>
              <w:pStyle w:val="TableContents"/>
              <w:rPr/>
            </w:pPr>
            <w:r>
              <w:rPr/>
              <w:t>120</w:t>
            </w:r>
          </w:p>
        </w:tc>
        <w:tc>
          <w:tcPr>
            <w:tcW w:w="985" w:type="dxa"/>
            <w:tcBorders>
              <w:start w:val="single" w:sz="4" w:space="0" w:color="000000"/>
              <w:bottom w:val="single" w:sz="4" w:space="0" w:color="000000"/>
            </w:tcBorders>
            <w:vAlign w:val="center"/>
          </w:tcPr>
          <w:p>
            <w:pPr>
              <w:pStyle w:val="TableContents"/>
              <w:rPr/>
            </w:pPr>
            <w:r>
              <w:rPr/>
              <w:t>35</w:t>
            </w:r>
          </w:p>
        </w:tc>
        <w:tc>
          <w:tcPr>
            <w:tcW w:w="1597" w:type="dxa"/>
            <w:tcBorders>
              <w:start w:val="single" w:sz="4" w:space="0" w:color="000000"/>
              <w:bottom w:val="single" w:sz="4" w:space="0" w:color="000000"/>
            </w:tcBorders>
            <w:vAlign w:val="center"/>
          </w:tcPr>
          <w:p>
            <w:pPr>
              <w:pStyle w:val="TableContents"/>
              <w:rPr/>
            </w:pPr>
            <w:r>
              <w:rPr/>
              <w:t>Governance</w:t>
            </w:r>
          </w:p>
        </w:tc>
        <w:tc>
          <w:tcPr>
            <w:tcW w:w="3921" w:type="dxa"/>
            <w:tcBorders>
              <w:start w:val="single" w:sz="4" w:space="0" w:color="000000"/>
              <w:bottom w:val="single" w:sz="4" w:space="0" w:color="000000"/>
            </w:tcBorders>
            <w:vAlign w:val="center"/>
          </w:tcPr>
          <w:p>
            <w:pPr>
              <w:pStyle w:val="TableContents"/>
              <w:rPr/>
            </w:pPr>
            <w:r>
              <w:rPr/>
              <w:t>Amendment of bye-laws by two-thirds of owners present, with one-third quorum - lower threshold than KAOA.</w:t>
            </w:r>
          </w:p>
        </w:tc>
        <w:tc>
          <w:tcPr>
            <w:tcW w:w="4546" w:type="dxa"/>
            <w:tcBorders>
              <w:start w:val="single" w:sz="4" w:space="0" w:color="000000"/>
              <w:bottom w:val="single" w:sz="4" w:space="0" w:color="000000"/>
            </w:tcBorders>
            <w:vAlign w:val="center"/>
          </w:tcPr>
          <w:p>
            <w:pPr>
              <w:pStyle w:val="TableContents"/>
              <w:rPr/>
            </w:pPr>
            <w:r>
              <w:rPr/>
              <w:t>Restore KAOA standard: no amendment valid unless set forth in amendment to Declaration and duly recorded.</w:t>
            </w:r>
          </w:p>
        </w:tc>
        <w:tc>
          <w:tcPr>
            <w:tcW w:w="4402" w:type="dxa"/>
            <w:tcBorders>
              <w:start w:val="single" w:sz="4" w:space="0" w:color="000000"/>
              <w:bottom w:val="single" w:sz="4" w:space="0" w:color="000000"/>
              <w:end w:val="single" w:sz="4" w:space="0" w:color="000000"/>
            </w:tcBorders>
            <w:vAlign w:val="center"/>
          </w:tcPr>
          <w:p>
            <w:pPr>
              <w:pStyle w:val="TableContents"/>
              <w:rPr/>
            </w:pPr>
            <w:r>
              <w:rPr/>
              <w:t>Lower threshold for changing bye-laws reduces protection for minority owners.</w:t>
            </w:r>
          </w:p>
        </w:tc>
      </w:tr>
      <w:tr>
        <w:trPr>
          <w:cantSplit/>
        </w:trPr>
        <w:tc>
          <w:tcPr>
            <w:tcW w:w="481" w:type="dxa"/>
            <w:tcBorders>
              <w:start w:val="single" w:sz="4" w:space="0" w:color="000000"/>
              <w:bottom w:val="single" w:sz="4" w:space="0" w:color="000000"/>
            </w:tcBorders>
            <w:vAlign w:val="center"/>
          </w:tcPr>
          <w:p>
            <w:pPr>
              <w:pStyle w:val="TableContents"/>
              <w:rPr/>
            </w:pPr>
            <w:r>
              <w:rPr/>
              <w:t>121</w:t>
            </w:r>
          </w:p>
        </w:tc>
        <w:tc>
          <w:tcPr>
            <w:tcW w:w="985" w:type="dxa"/>
            <w:tcBorders>
              <w:start w:val="single" w:sz="4" w:space="0" w:color="000000"/>
              <w:bottom w:val="single" w:sz="4" w:space="0" w:color="000000"/>
            </w:tcBorders>
            <w:vAlign w:val="center"/>
          </w:tcPr>
          <w:p>
            <w:pPr>
              <w:pStyle w:val="TableContents"/>
              <w:rPr/>
            </w:pPr>
            <w:r>
              <w:rPr/>
              <w:t>35(2)</w:t>
            </w:r>
          </w:p>
        </w:tc>
        <w:tc>
          <w:tcPr>
            <w:tcW w:w="1597" w:type="dxa"/>
            <w:tcBorders>
              <w:start w:val="single" w:sz="4" w:space="0" w:color="000000"/>
              <w:bottom w:val="single" w:sz="4" w:space="0" w:color="000000"/>
            </w:tcBorders>
            <w:vAlign w:val="center"/>
          </w:tcPr>
          <w:p>
            <w:pPr>
              <w:pStyle w:val="TableContents"/>
              <w:rPr/>
            </w:pPr>
            <w:r>
              <w:rPr/>
              <w:t>Governance</w:t>
            </w:r>
          </w:p>
        </w:tc>
        <w:tc>
          <w:tcPr>
            <w:tcW w:w="3921" w:type="dxa"/>
            <w:tcBorders>
              <w:start w:val="single" w:sz="4" w:space="0" w:color="000000"/>
              <w:bottom w:val="single" w:sz="4" w:space="0" w:color="000000"/>
            </w:tcBorders>
            <w:vAlign w:val="center"/>
          </w:tcPr>
          <w:p>
            <w:pPr>
              <w:pStyle w:val="TableContents"/>
              <w:rPr/>
            </w:pPr>
            <w:r>
              <w:rPr/>
              <w:t>"as may be provided in this Act" - vague.</w:t>
            </w:r>
          </w:p>
        </w:tc>
        <w:tc>
          <w:tcPr>
            <w:tcW w:w="4546" w:type="dxa"/>
            <w:tcBorders>
              <w:start w:val="single" w:sz="4" w:space="0" w:color="000000"/>
              <w:bottom w:val="single" w:sz="4" w:space="0" w:color="000000"/>
            </w:tcBorders>
            <w:vAlign w:val="center"/>
          </w:tcPr>
          <w:p>
            <w:pPr>
              <w:pStyle w:val="TableContents"/>
              <w:rPr/>
            </w:pPr>
            <w:r>
              <w:rPr/>
              <w:t>Replace with precise section number.</w:t>
            </w:r>
          </w:p>
        </w:tc>
        <w:tc>
          <w:tcPr>
            <w:tcW w:w="4402" w:type="dxa"/>
            <w:tcBorders>
              <w:start w:val="single" w:sz="4" w:space="0" w:color="000000"/>
              <w:bottom w:val="single" w:sz="4" w:space="0" w:color="000000"/>
              <w:end w:val="single" w:sz="4" w:space="0" w:color="000000"/>
            </w:tcBorders>
            <w:vAlign w:val="center"/>
          </w:tcPr>
          <w:p>
            <w:pPr>
              <w:pStyle w:val="TableContents"/>
              <w:rPr/>
            </w:pPr>
            <w:r>
              <w:rPr/>
              <w:t>Placeholder; needs specific references.</w:t>
            </w:r>
          </w:p>
        </w:tc>
      </w:tr>
      <w:tr>
        <w:trPr>
          <w:cantSplit/>
        </w:trPr>
        <w:tc>
          <w:tcPr>
            <w:tcW w:w="481" w:type="dxa"/>
            <w:tcBorders>
              <w:start w:val="single" w:sz="4" w:space="0" w:color="000000"/>
              <w:bottom w:val="single" w:sz="4" w:space="0" w:color="000000"/>
            </w:tcBorders>
            <w:vAlign w:val="center"/>
          </w:tcPr>
          <w:p>
            <w:pPr>
              <w:pStyle w:val="TableContents"/>
              <w:rPr/>
            </w:pPr>
            <w:r>
              <w:rPr/>
              <w:t>122</w:t>
            </w:r>
          </w:p>
        </w:tc>
        <w:tc>
          <w:tcPr>
            <w:tcW w:w="985" w:type="dxa"/>
            <w:tcBorders>
              <w:start w:val="single" w:sz="4" w:space="0" w:color="000000"/>
              <w:bottom w:val="single" w:sz="4" w:space="0" w:color="000000"/>
            </w:tcBorders>
            <w:vAlign w:val="center"/>
          </w:tcPr>
          <w:p>
            <w:pPr>
              <w:pStyle w:val="TableContents"/>
              <w:rPr/>
            </w:pPr>
            <w:r>
              <w:rPr/>
              <w:t>36</w:t>
            </w:r>
          </w:p>
        </w:tc>
        <w:tc>
          <w:tcPr>
            <w:tcW w:w="1597" w:type="dxa"/>
            <w:tcBorders>
              <w:start w:val="single" w:sz="4" w:space="0" w:color="000000"/>
              <w:bottom w:val="single" w:sz="4" w:space="0" w:color="000000"/>
            </w:tcBorders>
            <w:vAlign w:val="center"/>
          </w:tcPr>
          <w:p>
            <w:pPr>
              <w:pStyle w:val="TableContents"/>
              <w:rPr/>
            </w:pPr>
            <w:r>
              <w:rPr/>
              <w:t>Governance</w:t>
            </w:r>
          </w:p>
        </w:tc>
        <w:tc>
          <w:tcPr>
            <w:tcW w:w="3921" w:type="dxa"/>
            <w:tcBorders>
              <w:start w:val="single" w:sz="4" w:space="0" w:color="000000"/>
              <w:bottom w:val="single" w:sz="4" w:space="0" w:color="000000"/>
            </w:tcBorders>
            <w:vAlign w:val="center"/>
          </w:tcPr>
          <w:p>
            <w:pPr>
              <w:pStyle w:val="TableContents"/>
              <w:rPr/>
            </w:pPr>
            <w:r>
              <w:rPr/>
              <w:t>"The bye-laws...shall provide for, among other matters, the following" - this is a guide, not a checklist. Model bye-laws will provide details.</w:t>
            </w:r>
          </w:p>
        </w:tc>
        <w:tc>
          <w:tcPr>
            <w:tcW w:w="4546" w:type="dxa"/>
            <w:tcBorders>
              <w:start w:val="single" w:sz="4" w:space="0" w:color="000000"/>
              <w:bottom w:val="single" w:sz="4" w:space="0" w:color="000000"/>
            </w:tcBorders>
            <w:vAlign w:val="center"/>
          </w:tcPr>
          <w:p>
            <w:pPr>
              <w:pStyle w:val="TableContents"/>
              <w:rPr/>
            </w:pPr>
            <w:r>
              <w:rPr/>
              <w:t>Keep as framework; provide checklist in rules for model bye-laws.</w:t>
            </w:r>
          </w:p>
        </w:tc>
        <w:tc>
          <w:tcPr>
            <w:tcW w:w="4402" w:type="dxa"/>
            <w:tcBorders>
              <w:start w:val="single" w:sz="4" w:space="0" w:color="000000"/>
              <w:bottom w:val="single" w:sz="4" w:space="0" w:color="000000"/>
              <w:end w:val="single" w:sz="4" w:space="0" w:color="000000"/>
            </w:tcBorders>
            <w:vAlign w:val="center"/>
          </w:tcPr>
          <w:p>
            <w:pPr>
              <w:pStyle w:val="TableContents"/>
              <w:rPr/>
            </w:pPr>
            <w:r>
              <w:rPr/>
              <w:t>Government is going to provide model bye-laws; any deviation must be justified. This "guide" is not needed. Instead provide checklist to guide Executive while making model bye-laws (part of Rules).</w:t>
            </w:r>
          </w:p>
        </w:tc>
      </w:tr>
      <w:tr>
        <w:trPr>
          <w:cantSplit/>
        </w:trPr>
        <w:tc>
          <w:tcPr>
            <w:tcW w:w="481" w:type="dxa"/>
            <w:tcBorders>
              <w:start w:val="single" w:sz="4" w:space="0" w:color="000000"/>
              <w:bottom w:val="single" w:sz="4" w:space="0" w:color="000000"/>
            </w:tcBorders>
            <w:vAlign w:val="center"/>
          </w:tcPr>
          <w:p>
            <w:pPr>
              <w:pStyle w:val="TableContents"/>
              <w:rPr/>
            </w:pPr>
            <w:r>
              <w:rPr/>
              <w:t>123</w:t>
            </w:r>
          </w:p>
        </w:tc>
        <w:tc>
          <w:tcPr>
            <w:tcW w:w="985" w:type="dxa"/>
            <w:tcBorders>
              <w:start w:val="single" w:sz="4" w:space="0" w:color="000000"/>
              <w:bottom w:val="single" w:sz="4" w:space="0" w:color="000000"/>
            </w:tcBorders>
            <w:vAlign w:val="center"/>
          </w:tcPr>
          <w:p>
            <w:pPr>
              <w:pStyle w:val="TableContents"/>
              <w:rPr/>
            </w:pPr>
            <w:r>
              <w:rPr/>
              <w:t>37</w:t>
            </w:r>
          </w:p>
        </w:tc>
        <w:tc>
          <w:tcPr>
            <w:tcW w:w="1597" w:type="dxa"/>
            <w:tcBorders>
              <w:start w:val="single" w:sz="4" w:space="0" w:color="000000"/>
              <w:bottom w:val="single" w:sz="4" w:space="0" w:color="000000"/>
            </w:tcBorders>
            <w:vAlign w:val="center"/>
          </w:tcPr>
          <w:p>
            <w:pPr>
              <w:pStyle w:val="TableContents"/>
              <w:rPr/>
            </w:pPr>
            <w:r>
              <w:rPr/>
              <w:t>Enforcement</w:t>
            </w:r>
          </w:p>
        </w:tc>
        <w:tc>
          <w:tcPr>
            <w:tcW w:w="3921" w:type="dxa"/>
            <w:tcBorders>
              <w:start w:val="single" w:sz="4" w:space="0" w:color="000000"/>
              <w:bottom w:val="single" w:sz="4" w:space="0" w:color="000000"/>
            </w:tcBorders>
            <w:vAlign w:val="center"/>
          </w:tcPr>
          <w:p>
            <w:pPr>
              <w:pStyle w:val="TableContents"/>
              <w:rPr/>
            </w:pPr>
            <w:r>
              <w:rPr/>
              <w:t>Penalty for violation in case of federation not addressed.</w:t>
            </w:r>
          </w:p>
        </w:tc>
        <w:tc>
          <w:tcPr>
            <w:tcW w:w="4546" w:type="dxa"/>
            <w:tcBorders>
              <w:start w:val="single" w:sz="4" w:space="0" w:color="000000"/>
              <w:bottom w:val="single" w:sz="4" w:space="0" w:color="000000"/>
            </w:tcBorders>
            <w:vAlign w:val="center"/>
          </w:tcPr>
          <w:p>
            <w:pPr>
              <w:pStyle w:val="TableContents"/>
              <w:rPr/>
            </w:pPr>
            <w:r>
              <w:rPr/>
              <w:t>Clarify whether penalty is borne by violating sub-association or individual owner.</w:t>
            </w:r>
          </w:p>
        </w:tc>
        <w:tc>
          <w:tcPr>
            <w:tcW w:w="4402" w:type="dxa"/>
            <w:tcBorders>
              <w:start w:val="single" w:sz="4" w:space="0" w:color="000000"/>
              <w:bottom w:val="single" w:sz="4" w:space="0" w:color="000000"/>
              <w:end w:val="single" w:sz="4" w:space="0" w:color="000000"/>
            </w:tcBorders>
            <w:vAlign w:val="center"/>
          </w:tcPr>
          <w:p>
            <w:pPr>
              <w:pStyle w:val="TableContents"/>
              <w:rPr/>
            </w:pPr>
            <w:r>
              <w:rPr/>
              <w:t>Liability Mismatch: If a sub-association violates a federation rule, but penalty falls on individual owners, it is inequitable. Must be clearly assigned.</w:t>
            </w:r>
          </w:p>
        </w:tc>
      </w:tr>
      <w:tr>
        <w:trPr>
          <w:cantSplit/>
        </w:trPr>
        <w:tc>
          <w:tcPr>
            <w:tcW w:w="481" w:type="dxa"/>
            <w:tcBorders>
              <w:start w:val="single" w:sz="4" w:space="0" w:color="000000"/>
              <w:bottom w:val="single" w:sz="4" w:space="0" w:color="000000"/>
            </w:tcBorders>
            <w:vAlign w:val="center"/>
          </w:tcPr>
          <w:p>
            <w:pPr>
              <w:pStyle w:val="TableContents"/>
              <w:rPr/>
            </w:pPr>
            <w:r>
              <w:rPr/>
              <w:t>124</w:t>
            </w:r>
          </w:p>
        </w:tc>
        <w:tc>
          <w:tcPr>
            <w:tcW w:w="985" w:type="dxa"/>
            <w:tcBorders>
              <w:start w:val="single" w:sz="4" w:space="0" w:color="000000"/>
              <w:bottom w:val="single" w:sz="4" w:space="0" w:color="000000"/>
            </w:tcBorders>
            <w:vAlign w:val="center"/>
          </w:tcPr>
          <w:p>
            <w:pPr>
              <w:pStyle w:val="TableContents"/>
              <w:rPr/>
            </w:pPr>
            <w:r>
              <w:rPr/>
              <w:t>38</w:t>
            </w:r>
          </w:p>
        </w:tc>
        <w:tc>
          <w:tcPr>
            <w:tcW w:w="1597" w:type="dxa"/>
            <w:tcBorders>
              <w:start w:val="single" w:sz="4" w:space="0" w:color="000000"/>
              <w:bottom w:val="single" w:sz="4" w:space="0" w:color="000000"/>
            </w:tcBorders>
            <w:vAlign w:val="center"/>
          </w:tcPr>
          <w:p>
            <w:pPr>
              <w:pStyle w:val="TableContents"/>
              <w:rPr/>
            </w:pPr>
            <w:r>
              <w:rPr/>
              <w:t>Enforcement/Appeals</w:t>
            </w:r>
          </w:p>
        </w:tc>
        <w:tc>
          <w:tcPr>
            <w:tcW w:w="3921" w:type="dxa"/>
            <w:tcBorders>
              <w:start w:val="single" w:sz="4" w:space="0" w:color="000000"/>
              <w:bottom w:val="single" w:sz="4" w:space="0" w:color="000000"/>
            </w:tcBorders>
            <w:vAlign w:val="center"/>
          </w:tcPr>
          <w:p>
            <w:pPr>
              <w:pStyle w:val="TableContents"/>
              <w:rPr/>
            </w:pPr>
            <w:r>
              <w:rPr/>
              <w:t>Section 37(2) proviso says "any person aggrieved by [penalty] may appeal to the competent authority whose decision shall be final." This incorrectly makes CA the appellate authority for its own decisions, violating natural justice (nemo judex in causa sua).</w:t>
            </w:r>
          </w:p>
        </w:tc>
        <w:tc>
          <w:tcPr>
            <w:tcW w:w="4546" w:type="dxa"/>
            <w:tcBorders>
              <w:start w:val="single" w:sz="4" w:space="0" w:color="000000"/>
              <w:bottom w:val="single" w:sz="4" w:space="0" w:color="000000"/>
            </w:tcBorders>
            <w:vAlign w:val="center"/>
          </w:tcPr>
          <w:p>
            <w:pPr>
              <w:pStyle w:val="TableContents"/>
              <w:rPr/>
            </w:pPr>
            <w:r>
              <w:rPr/>
              <w:t>Amend: "Any person aggrieved by the imposition of such penalty may prefer an appeal to the First Appellate Authority within thirty days from the date of communication of the penalty order."</w:t>
            </w:r>
          </w:p>
        </w:tc>
        <w:tc>
          <w:tcPr>
            <w:tcW w:w="4402" w:type="dxa"/>
            <w:tcBorders>
              <w:start w:val="single" w:sz="4" w:space="0" w:color="000000"/>
              <w:bottom w:val="single" w:sz="4" w:space="0" w:color="000000"/>
              <w:end w:val="single" w:sz="4" w:space="0" w:color="000000"/>
            </w:tcBorders>
            <w:vAlign w:val="center"/>
          </w:tcPr>
          <w:p>
            <w:pPr>
              <w:pStyle w:val="TableContents"/>
              <w:rPr/>
            </w:pPr>
            <w:r>
              <w:rPr/>
              <w:t>Allowing CA to be the final authority on its own penalties violates natural justice (nemo judex in causa sua). The appellate hierarchy must be to an independent authority (First Appellate Authority), not the CA itself.</w:t>
            </w:r>
          </w:p>
        </w:tc>
      </w:tr>
      <w:tr>
        <w:trPr>
          <w:cantSplit/>
        </w:trPr>
        <w:tc>
          <w:tcPr>
            <w:tcW w:w="481" w:type="dxa"/>
            <w:tcBorders>
              <w:start w:val="single" w:sz="4" w:space="0" w:color="000000"/>
              <w:bottom w:val="single" w:sz="4" w:space="0" w:color="000000"/>
            </w:tcBorders>
            <w:vAlign w:val="center"/>
          </w:tcPr>
          <w:p>
            <w:pPr>
              <w:pStyle w:val="TableContents"/>
              <w:rPr/>
            </w:pPr>
            <w:r>
              <w:rPr/>
              <w:t>125</w:t>
            </w:r>
          </w:p>
        </w:tc>
        <w:tc>
          <w:tcPr>
            <w:tcW w:w="985" w:type="dxa"/>
            <w:tcBorders>
              <w:start w:val="single" w:sz="4" w:space="0" w:color="000000"/>
              <w:bottom w:val="single" w:sz="4" w:space="0" w:color="000000"/>
            </w:tcBorders>
            <w:vAlign w:val="center"/>
          </w:tcPr>
          <w:p>
            <w:pPr>
              <w:pStyle w:val="TableContents"/>
              <w:rPr/>
            </w:pPr>
            <w:r>
              <w:rPr/>
              <w:t>38</w:t>
            </w:r>
          </w:p>
        </w:tc>
        <w:tc>
          <w:tcPr>
            <w:tcW w:w="1597" w:type="dxa"/>
            <w:tcBorders>
              <w:start w:val="single" w:sz="4" w:space="0" w:color="000000"/>
              <w:bottom w:val="single" w:sz="4" w:space="0" w:color="000000"/>
            </w:tcBorders>
            <w:vAlign w:val="center"/>
          </w:tcPr>
          <w:p>
            <w:pPr>
              <w:pStyle w:val="TableContents"/>
              <w:rPr/>
            </w:pPr>
            <w:r>
              <w:rPr/>
              <w:t>Governance</w:t>
            </w:r>
          </w:p>
        </w:tc>
        <w:tc>
          <w:tcPr>
            <w:tcW w:w="3921" w:type="dxa"/>
            <w:tcBorders>
              <w:start w:val="single" w:sz="4" w:space="0" w:color="000000"/>
              <w:bottom w:val="single" w:sz="4" w:space="0" w:color="000000"/>
            </w:tcBorders>
            <w:vAlign w:val="center"/>
          </w:tcPr>
          <w:p>
            <w:pPr>
              <w:pStyle w:val="TableContents"/>
              <w:rPr/>
            </w:pPr>
            <w:r>
              <w:rPr/>
              <w:t>"Government may prescribe model bye-laws" - but no provision for updating existing projects.</w:t>
            </w:r>
          </w:p>
        </w:tc>
        <w:tc>
          <w:tcPr>
            <w:tcW w:w="4546" w:type="dxa"/>
            <w:tcBorders>
              <w:start w:val="single" w:sz="4" w:space="0" w:color="000000"/>
              <w:bottom w:val="single" w:sz="4" w:space="0" w:color="000000"/>
            </w:tcBorders>
            <w:vAlign w:val="center"/>
          </w:tcPr>
          <w:p>
            <w:pPr>
              <w:pStyle w:val="TableContents"/>
              <w:rPr/>
            </w:pPr>
            <w:r>
              <w:rPr/>
              <w:t>Add Section 39A: Any amendment to Model Bye-laws shall be binding on all associations registered under this Act, irrespective of date of registration. Provide 90-day compliance period.</w:t>
            </w:r>
          </w:p>
        </w:tc>
        <w:tc>
          <w:tcPr>
            <w:tcW w:w="4402" w:type="dxa"/>
            <w:tcBorders>
              <w:start w:val="single" w:sz="4" w:space="0" w:color="000000"/>
              <w:bottom w:val="single" w:sz="4" w:space="0" w:color="000000"/>
              <w:end w:val="single" w:sz="4" w:space="0" w:color="000000"/>
            </w:tcBorders>
            <w:vAlign w:val="center"/>
          </w:tcPr>
          <w:p>
            <w:pPr>
              <w:pStyle w:val="TableContents"/>
              <w:rPr/>
            </w:pPr>
            <w:r>
              <w:rPr/>
              <w:t>Without this, system fragments into countless versions. Government's power to update Model Bye-laws becomes meaningless for existing projects. Creates two-tier system.</w:t>
            </w:r>
          </w:p>
        </w:tc>
      </w:tr>
      <w:tr>
        <w:trPr>
          <w:cantSplit/>
        </w:trPr>
        <w:tc>
          <w:tcPr>
            <w:tcW w:w="481" w:type="dxa"/>
            <w:tcBorders>
              <w:start w:val="single" w:sz="4" w:space="0" w:color="000000"/>
              <w:bottom w:val="single" w:sz="4" w:space="0" w:color="000000"/>
            </w:tcBorders>
            <w:vAlign w:val="center"/>
          </w:tcPr>
          <w:p>
            <w:pPr>
              <w:pStyle w:val="TableContents"/>
              <w:rPr/>
            </w:pPr>
            <w:r>
              <w:rPr/>
              <w:t>126</w:t>
            </w:r>
          </w:p>
        </w:tc>
        <w:tc>
          <w:tcPr>
            <w:tcW w:w="985" w:type="dxa"/>
            <w:tcBorders>
              <w:start w:val="single" w:sz="4" w:space="0" w:color="000000"/>
              <w:bottom w:val="single" w:sz="4" w:space="0" w:color="000000"/>
            </w:tcBorders>
            <w:vAlign w:val="center"/>
          </w:tcPr>
          <w:p>
            <w:pPr>
              <w:pStyle w:val="TableContents"/>
              <w:rPr/>
            </w:pPr>
            <w:r>
              <w:rPr/>
              <w:t>38(4)</w:t>
            </w:r>
          </w:p>
        </w:tc>
        <w:tc>
          <w:tcPr>
            <w:tcW w:w="1597" w:type="dxa"/>
            <w:tcBorders>
              <w:start w:val="single" w:sz="4" w:space="0" w:color="000000"/>
              <w:bottom w:val="single" w:sz="4" w:space="0" w:color="000000"/>
            </w:tcBorders>
            <w:vAlign w:val="center"/>
          </w:tcPr>
          <w:p>
            <w:pPr>
              <w:pStyle w:val="TableContents"/>
              <w:rPr/>
            </w:pPr>
            <w:r>
              <w:rPr/>
              <w:t>Governance</w:t>
            </w:r>
          </w:p>
        </w:tc>
        <w:tc>
          <w:tcPr>
            <w:tcW w:w="3921" w:type="dxa"/>
            <w:tcBorders>
              <w:start w:val="single" w:sz="4" w:space="0" w:color="000000"/>
              <w:bottom w:val="single" w:sz="4" w:space="0" w:color="000000"/>
            </w:tcBorders>
            <w:vAlign w:val="center"/>
          </w:tcPr>
          <w:p>
            <w:pPr>
              <w:pStyle w:val="TableContents"/>
              <w:rPr/>
            </w:pPr>
            <w:r>
              <w:rPr/>
              <w:t>Government will amend/revise bye-laws template from time to time - but no provision for applicability to existing projects.</w:t>
            </w:r>
          </w:p>
        </w:tc>
        <w:tc>
          <w:tcPr>
            <w:tcW w:w="4546" w:type="dxa"/>
            <w:tcBorders>
              <w:start w:val="single" w:sz="4" w:space="0" w:color="000000"/>
              <w:bottom w:val="single" w:sz="4" w:space="0" w:color="000000"/>
            </w:tcBorders>
            <w:vAlign w:val="center"/>
          </w:tcPr>
          <w:p>
            <w:pPr>
              <w:pStyle w:val="TableContents"/>
              <w:rPr/>
            </w:pPr>
            <w:r>
              <w:rPr/>
              <w:t>Add: All amendments are deemed to be applicable to existing projects also.</w:t>
            </w:r>
          </w:p>
        </w:tc>
        <w:tc>
          <w:tcPr>
            <w:tcW w:w="4402" w:type="dxa"/>
            <w:tcBorders>
              <w:start w:val="single" w:sz="4" w:space="0" w:color="000000"/>
              <w:bottom w:val="single" w:sz="4" w:space="0" w:color="000000"/>
              <w:end w:val="single" w:sz="4" w:space="0" w:color="000000"/>
            </w:tcBorders>
            <w:vAlign w:val="center"/>
          </w:tcPr>
          <w:p>
            <w:pPr>
              <w:pStyle w:val="TableContents"/>
              <w:rPr/>
            </w:pPr>
            <w:r>
              <w:rPr/>
              <w:t>All projects stay synchronized to latest version of law. Model Bye-laws must be single source of operational rules for ALL projects. Otherwise system fragments into countless versions.</w:t>
            </w:r>
          </w:p>
        </w:tc>
      </w:tr>
      <w:tr>
        <w:trPr>
          <w:cantSplit/>
        </w:trPr>
        <w:tc>
          <w:tcPr>
            <w:tcW w:w="481" w:type="dxa"/>
            <w:tcBorders>
              <w:start w:val="single" w:sz="4" w:space="0" w:color="000000"/>
              <w:bottom w:val="single" w:sz="4" w:space="0" w:color="000000"/>
            </w:tcBorders>
            <w:vAlign w:val="center"/>
          </w:tcPr>
          <w:p>
            <w:pPr>
              <w:pStyle w:val="TableContents"/>
              <w:rPr/>
            </w:pPr>
            <w:r>
              <w:rPr/>
              <w:t>127</w:t>
            </w:r>
          </w:p>
        </w:tc>
        <w:tc>
          <w:tcPr>
            <w:tcW w:w="985" w:type="dxa"/>
            <w:tcBorders>
              <w:start w:val="single" w:sz="4" w:space="0" w:color="000000"/>
              <w:bottom w:val="single" w:sz="4" w:space="0" w:color="000000"/>
            </w:tcBorders>
            <w:vAlign w:val="center"/>
          </w:tcPr>
          <w:p>
            <w:pPr>
              <w:pStyle w:val="TableContents"/>
              <w:rPr/>
            </w:pPr>
            <w:r>
              <w:rPr/>
              <w:t>39</w:t>
            </w:r>
          </w:p>
        </w:tc>
        <w:tc>
          <w:tcPr>
            <w:tcW w:w="1597" w:type="dxa"/>
            <w:tcBorders>
              <w:start w:val="single" w:sz="4" w:space="0" w:color="000000"/>
              <w:bottom w:val="single" w:sz="4" w:space="0" w:color="000000"/>
            </w:tcBorders>
            <w:vAlign w:val="center"/>
          </w:tcPr>
          <w:p>
            <w:pPr>
              <w:pStyle w:val="TableContents"/>
              <w:rPr/>
            </w:pPr>
            <w:r>
              <w:rPr/>
              <w:t>Constitutional/Governance</w:t>
            </w:r>
          </w:p>
        </w:tc>
        <w:tc>
          <w:tcPr>
            <w:tcW w:w="3921" w:type="dxa"/>
            <w:tcBorders>
              <w:start w:val="single" w:sz="4" w:space="0" w:color="000000"/>
              <w:bottom w:val="single" w:sz="4" w:space="0" w:color="000000"/>
            </w:tcBorders>
            <w:vAlign w:val="center"/>
          </w:tcPr>
          <w:p>
            <w:pPr>
              <w:pStyle w:val="TableContents"/>
              <w:rPr/>
            </w:pPr>
            <w:r>
              <w:rPr/>
              <w:t>Competent Authority designated as mere "Group-B" officer subordinate to local planning authority.</w:t>
            </w:r>
          </w:p>
        </w:tc>
        <w:tc>
          <w:tcPr>
            <w:tcW w:w="4546" w:type="dxa"/>
            <w:tcBorders>
              <w:start w:val="single" w:sz="4" w:space="0" w:color="000000"/>
              <w:bottom w:val="single" w:sz="4" w:space="0" w:color="000000"/>
            </w:tcBorders>
            <w:vAlign w:val="center"/>
          </w:tcPr>
          <w:p>
            <w:pPr>
              <w:pStyle w:val="TableContents"/>
              <w:rPr/>
            </w:pPr>
            <w:r>
              <w:rPr/>
              <w:t>Substitute: "The Government shall appoint an officer not below the rank of Joint Director (Group-A, Senior Scale), possessing legal or engineering qualifications, as the Competent Authority, who shall function as an independent statutory authority not subordinate to the planning or local authority."</w:t>
            </w:r>
          </w:p>
        </w:tc>
        <w:tc>
          <w:tcPr>
            <w:tcW w:w="4402" w:type="dxa"/>
            <w:tcBorders>
              <w:start w:val="single" w:sz="4" w:space="0" w:color="000000"/>
              <w:bottom w:val="single" w:sz="4" w:space="0" w:color="000000"/>
              <w:end w:val="single" w:sz="4" w:space="0" w:color="000000"/>
            </w:tcBorders>
            <w:vAlign w:val="center"/>
          </w:tcPr>
          <w:p>
            <w:pPr>
              <w:pStyle w:val="TableContents"/>
              <w:rPr/>
            </w:pPr>
            <w:r>
              <w:rPr/>
              <w:t>Structural Bias &amp; Conflict of Interest: Same authority that sanctions illegal plans cannot adjudicate disputes arising from them. Subordination compromises CA's quasi-judicial independence, exposing all orders to writ challenges on grounds of bias.</w:t>
            </w:r>
          </w:p>
        </w:tc>
      </w:tr>
      <w:tr>
        <w:trPr>
          <w:cantSplit/>
        </w:trPr>
        <w:tc>
          <w:tcPr>
            <w:tcW w:w="481" w:type="dxa"/>
            <w:tcBorders>
              <w:start w:val="single" w:sz="4" w:space="0" w:color="000000"/>
              <w:bottom w:val="single" w:sz="4" w:space="0" w:color="000000"/>
            </w:tcBorders>
            <w:vAlign w:val="center"/>
          </w:tcPr>
          <w:p>
            <w:pPr>
              <w:pStyle w:val="TableContents"/>
              <w:rPr/>
            </w:pPr>
            <w:r>
              <w:rPr/>
              <w:t>128</w:t>
            </w:r>
          </w:p>
        </w:tc>
        <w:tc>
          <w:tcPr>
            <w:tcW w:w="985" w:type="dxa"/>
            <w:tcBorders>
              <w:start w:val="single" w:sz="4" w:space="0" w:color="000000"/>
              <w:bottom w:val="single" w:sz="4" w:space="0" w:color="000000"/>
            </w:tcBorders>
            <w:vAlign w:val="center"/>
          </w:tcPr>
          <w:p>
            <w:pPr>
              <w:pStyle w:val="TableContents"/>
              <w:rPr/>
            </w:pPr>
            <w:r>
              <w:rPr/>
              <w:t>39</w:t>
            </w:r>
          </w:p>
        </w:tc>
        <w:tc>
          <w:tcPr>
            <w:tcW w:w="1597" w:type="dxa"/>
            <w:tcBorders>
              <w:start w:val="single" w:sz="4" w:space="0" w:color="000000"/>
              <w:bottom w:val="single" w:sz="4" w:space="0" w:color="000000"/>
            </w:tcBorders>
            <w:vAlign w:val="center"/>
          </w:tcPr>
          <w:p>
            <w:pPr>
              <w:pStyle w:val="TableContents"/>
              <w:rPr/>
            </w:pPr>
            <w:r>
              <w:rPr/>
              <w:t>Judicial/Qualifications</w:t>
            </w:r>
          </w:p>
        </w:tc>
        <w:tc>
          <w:tcPr>
            <w:tcW w:w="3921" w:type="dxa"/>
            <w:tcBorders>
              <w:start w:val="single" w:sz="4" w:space="0" w:color="000000"/>
              <w:bottom w:val="single" w:sz="4" w:space="0" w:color="000000"/>
            </w:tcBorders>
            <w:vAlign w:val="center"/>
          </w:tcPr>
          <w:p>
            <w:pPr>
              <w:pStyle w:val="TableContents"/>
              <w:rPr/>
            </w:pPr>
            <w:r>
              <w:rPr/>
              <w:t>CA to be drawn from ULB/planning authority - officers do not have legal grounding to adjudicate legal problems on a daily basis.</w:t>
            </w:r>
          </w:p>
        </w:tc>
        <w:tc>
          <w:tcPr>
            <w:tcW w:w="4546" w:type="dxa"/>
            <w:tcBorders>
              <w:start w:val="single" w:sz="4" w:space="0" w:color="000000"/>
              <w:bottom w:val="single" w:sz="4" w:space="0" w:color="000000"/>
            </w:tcBorders>
            <w:vAlign w:val="center"/>
          </w:tcPr>
          <w:p>
            <w:pPr>
              <w:pStyle w:val="TableContents"/>
              <w:rPr/>
            </w:pPr>
            <w:r>
              <w:rPr/>
              <w:t>Competent Authority must be an officer not below Group-A (Junior Scale) with at least 5 years experience in land/property administration. First Appellate Authority: Group-A (Senior Scale) OR retired District Judge. Second Appellate Authority: State-Level Tribunal with Judicial Member and Technical Member.</w:t>
            </w:r>
          </w:p>
        </w:tc>
        <w:tc>
          <w:tcPr>
            <w:tcW w:w="4402" w:type="dxa"/>
            <w:tcBorders>
              <w:start w:val="single" w:sz="4" w:space="0" w:color="000000"/>
              <w:bottom w:val="single" w:sz="4" w:space="0" w:color="000000"/>
              <w:end w:val="single" w:sz="4" w:space="0" w:color="000000"/>
            </w:tcBorders>
            <w:vAlign w:val="center"/>
          </w:tcPr>
          <w:p>
            <w:pPr>
              <w:pStyle w:val="TableContents"/>
              <w:rPr/>
            </w:pPr>
            <w:r>
              <w:rPr/>
              <w:t>Officers from ULB or Planning Authority do not have legal grounding. Cannot act as CA who is required to adjudicate legal problems daily. RERA model separates regulation from adjudication.</w:t>
            </w:r>
          </w:p>
        </w:tc>
      </w:tr>
      <w:tr>
        <w:trPr>
          <w:cantSplit/>
        </w:trPr>
        <w:tc>
          <w:tcPr>
            <w:tcW w:w="481" w:type="dxa"/>
            <w:tcBorders>
              <w:start w:val="single" w:sz="4" w:space="0" w:color="000000"/>
              <w:bottom w:val="single" w:sz="4" w:space="0" w:color="000000"/>
            </w:tcBorders>
            <w:vAlign w:val="center"/>
          </w:tcPr>
          <w:p>
            <w:pPr>
              <w:pStyle w:val="TableContents"/>
              <w:rPr/>
            </w:pPr>
            <w:r>
              <w:rPr/>
              <w:t>129</w:t>
            </w:r>
          </w:p>
        </w:tc>
        <w:tc>
          <w:tcPr>
            <w:tcW w:w="985" w:type="dxa"/>
            <w:tcBorders>
              <w:start w:val="single" w:sz="4" w:space="0" w:color="000000"/>
              <w:bottom w:val="single" w:sz="4" w:space="0" w:color="000000"/>
            </w:tcBorders>
            <w:vAlign w:val="center"/>
          </w:tcPr>
          <w:p>
            <w:pPr>
              <w:pStyle w:val="TableContents"/>
              <w:rPr/>
            </w:pPr>
            <w:r>
              <w:rPr/>
              <w:t>39(1)</w:t>
            </w:r>
          </w:p>
        </w:tc>
        <w:tc>
          <w:tcPr>
            <w:tcW w:w="1597" w:type="dxa"/>
            <w:tcBorders>
              <w:start w:val="single" w:sz="4" w:space="0" w:color="000000"/>
              <w:bottom w:val="single" w:sz="4" w:space="0" w:color="000000"/>
            </w:tcBorders>
            <w:vAlign w:val="center"/>
          </w:tcPr>
          <w:p>
            <w:pPr>
              <w:pStyle w:val="TableContents"/>
              <w:rPr/>
            </w:pPr>
            <w:r>
              <w:rPr/>
              <w:t>Judicial/Qualifications</w:t>
            </w:r>
          </w:p>
        </w:tc>
        <w:tc>
          <w:tcPr>
            <w:tcW w:w="3921" w:type="dxa"/>
            <w:tcBorders>
              <w:start w:val="single" w:sz="4" w:space="0" w:color="000000"/>
              <w:bottom w:val="single" w:sz="4" w:space="0" w:color="000000"/>
            </w:tcBorders>
            <w:vAlign w:val="center"/>
          </w:tcPr>
          <w:p>
            <w:pPr>
              <w:pStyle w:val="TableContents"/>
              <w:rPr/>
            </w:pPr>
            <w:r>
              <w:rPr/>
              <w:t>No qualifications prescribed for CA who exercises quasi-judicial powers under Section 42 (powers of civil court).</w:t>
            </w:r>
          </w:p>
        </w:tc>
        <w:tc>
          <w:tcPr>
            <w:tcW w:w="4546" w:type="dxa"/>
            <w:tcBorders>
              <w:start w:val="single" w:sz="4" w:space="0" w:color="000000"/>
              <w:bottom w:val="single" w:sz="4" w:space="0" w:color="000000"/>
            </w:tcBorders>
            <w:vAlign w:val="center"/>
          </w:tcPr>
          <w:p>
            <w:pPr>
              <w:pStyle w:val="TableContents"/>
              <w:rPr/>
            </w:pPr>
            <w:r>
              <w:rPr/>
              <w:t>Prescribe minimum qualifications: legal or engineering background; mandatory certification course from Karnataka State Judicial Academy covering property laws, procedural laws, and KAOMA provisions.</w:t>
            </w:r>
          </w:p>
        </w:tc>
        <w:tc>
          <w:tcPr>
            <w:tcW w:w="4402" w:type="dxa"/>
            <w:tcBorders>
              <w:start w:val="single" w:sz="4" w:space="0" w:color="000000"/>
              <w:bottom w:val="single" w:sz="4" w:space="0" w:color="000000"/>
              <w:end w:val="single" w:sz="4" w:space="0" w:color="000000"/>
            </w:tcBorders>
            <w:vAlign w:val="center"/>
          </w:tcPr>
          <w:p>
            <w:pPr>
              <w:pStyle w:val="TableContents"/>
              <w:rPr/>
            </w:pPr>
            <w:r>
              <w:rPr/>
              <w:t>An officer from ULB is typically engineer, urban planner, or municipal administrator - unequipped to adjudicate disputes involving Transfer of Property Act, UDI computation, Registration Act, Evidence Act, CPC, etc.</w:t>
            </w:r>
          </w:p>
        </w:tc>
      </w:tr>
      <w:tr>
        <w:trPr>
          <w:cantSplit/>
        </w:trPr>
        <w:tc>
          <w:tcPr>
            <w:tcW w:w="481" w:type="dxa"/>
            <w:tcBorders>
              <w:start w:val="single" w:sz="4" w:space="0" w:color="000000"/>
              <w:bottom w:val="single" w:sz="4" w:space="0" w:color="000000"/>
            </w:tcBorders>
            <w:vAlign w:val="center"/>
          </w:tcPr>
          <w:p>
            <w:pPr>
              <w:pStyle w:val="TableContents"/>
              <w:rPr/>
            </w:pPr>
            <w:r>
              <w:rPr/>
              <w:t>130</w:t>
            </w:r>
          </w:p>
        </w:tc>
        <w:tc>
          <w:tcPr>
            <w:tcW w:w="985" w:type="dxa"/>
            <w:tcBorders>
              <w:start w:val="single" w:sz="4" w:space="0" w:color="000000"/>
              <w:bottom w:val="single" w:sz="4" w:space="0" w:color="000000"/>
            </w:tcBorders>
            <w:vAlign w:val="center"/>
          </w:tcPr>
          <w:p>
            <w:pPr>
              <w:pStyle w:val="TableContents"/>
              <w:rPr/>
            </w:pPr>
            <w:r>
              <w:rPr/>
              <w:t>40(b)</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No time limit for appointment of inquiry officer.</w:t>
            </w:r>
          </w:p>
        </w:tc>
        <w:tc>
          <w:tcPr>
            <w:tcW w:w="4546" w:type="dxa"/>
            <w:tcBorders>
              <w:start w:val="single" w:sz="4" w:space="0" w:color="000000"/>
              <w:bottom w:val="single" w:sz="4" w:space="0" w:color="000000"/>
            </w:tcBorders>
            <w:vAlign w:val="center"/>
          </w:tcPr>
          <w:p>
            <w:pPr>
              <w:pStyle w:val="TableContents"/>
              <w:rPr/>
            </w:pPr>
            <w:r>
              <w:rPr/>
              <w:t>Define a reasonable limit (e.g., 2 weeks).</w:t>
            </w:r>
          </w:p>
        </w:tc>
        <w:tc>
          <w:tcPr>
            <w:tcW w:w="4402" w:type="dxa"/>
            <w:tcBorders>
              <w:start w:val="single" w:sz="4" w:space="0" w:color="000000"/>
              <w:bottom w:val="single" w:sz="4" w:space="0" w:color="000000"/>
              <w:end w:val="single" w:sz="4" w:space="0" w:color="000000"/>
            </w:tcBorders>
            <w:vAlign w:val="center"/>
          </w:tcPr>
          <w:p>
            <w:pPr>
              <w:pStyle w:val="TableContents"/>
              <w:rPr/>
            </w:pPr>
            <w:r>
              <w:rPr/>
              <w:t>Shortage of inquiry staff becomes excuse for delay. Endless time taken to appoint inquiry officer will become official excuse for CA for delays. Given large number of disputes, CA will face severe shortage. Huge challenge for government.</w:t>
            </w:r>
          </w:p>
        </w:tc>
      </w:tr>
      <w:tr>
        <w:trPr>
          <w:cantSplit/>
        </w:trPr>
        <w:tc>
          <w:tcPr>
            <w:tcW w:w="481" w:type="dxa"/>
            <w:tcBorders>
              <w:start w:val="single" w:sz="4" w:space="0" w:color="000000"/>
              <w:bottom w:val="single" w:sz="4" w:space="0" w:color="000000"/>
            </w:tcBorders>
            <w:vAlign w:val="center"/>
          </w:tcPr>
          <w:p>
            <w:pPr>
              <w:pStyle w:val="TableContents"/>
              <w:rPr/>
            </w:pPr>
            <w:r>
              <w:rPr/>
              <w:t>131</w:t>
            </w:r>
          </w:p>
        </w:tc>
        <w:tc>
          <w:tcPr>
            <w:tcW w:w="985" w:type="dxa"/>
            <w:tcBorders>
              <w:start w:val="single" w:sz="4" w:space="0" w:color="000000"/>
              <w:bottom w:val="single" w:sz="4" w:space="0" w:color="000000"/>
            </w:tcBorders>
            <w:vAlign w:val="center"/>
          </w:tcPr>
          <w:p>
            <w:pPr>
              <w:pStyle w:val="TableContents"/>
              <w:rPr/>
            </w:pPr>
            <w:r>
              <w:rPr/>
              <w:t>41</w:t>
            </w:r>
          </w:p>
        </w:tc>
        <w:tc>
          <w:tcPr>
            <w:tcW w:w="1597" w:type="dxa"/>
            <w:tcBorders>
              <w:start w:val="single" w:sz="4" w:space="0" w:color="000000"/>
              <w:bottom w:val="single" w:sz="4" w:space="0" w:color="000000"/>
            </w:tcBorders>
            <w:vAlign w:val="center"/>
          </w:tcPr>
          <w:p>
            <w:pPr>
              <w:pStyle w:val="TableContents"/>
              <w:rPr/>
            </w:pPr>
            <w:r>
              <w:rPr/>
              <w:t>Functions</w:t>
            </w:r>
          </w:p>
        </w:tc>
        <w:tc>
          <w:tcPr>
            <w:tcW w:w="3921" w:type="dxa"/>
            <w:tcBorders>
              <w:start w:val="single" w:sz="4" w:space="0" w:color="000000"/>
              <w:bottom w:val="single" w:sz="4" w:space="0" w:color="000000"/>
            </w:tcBorders>
            <w:vAlign w:val="center"/>
          </w:tcPr>
          <w:p>
            <w:pPr>
              <w:pStyle w:val="TableContents"/>
              <w:rPr/>
            </w:pPr>
            <w:r>
              <w:rPr/>
              <w:t>Section 41 is incomplete. It does not list CA's enforcement, penalty, or administrative override powers.</w:t>
            </w:r>
          </w:p>
        </w:tc>
        <w:tc>
          <w:tcPr>
            <w:tcW w:w="4546" w:type="dxa"/>
            <w:tcBorders>
              <w:start w:val="single" w:sz="4" w:space="0" w:color="000000"/>
              <w:bottom w:val="single" w:sz="4" w:space="0" w:color="000000"/>
            </w:tcBorders>
            <w:vAlign w:val="center"/>
          </w:tcPr>
          <w:p>
            <w:pPr>
              <w:pStyle w:val="TableContents"/>
              <w:rPr/>
            </w:pPr>
            <w:r>
              <w:rPr/>
              <w:t>Amend Section 41 to include: (m) to conduct annual data reconciliation exercise for every registered project; (n) to impose penalties; (o) to enforce orders.</w:t>
            </w:r>
          </w:p>
        </w:tc>
        <w:tc>
          <w:tcPr>
            <w:tcW w:w="4402" w:type="dxa"/>
            <w:tcBorders>
              <w:start w:val="single" w:sz="4" w:space="0" w:color="000000"/>
              <w:bottom w:val="single" w:sz="4" w:space="0" w:color="000000"/>
              <w:end w:val="single" w:sz="4" w:space="0" w:color="000000"/>
            </w:tcBorders>
            <w:vAlign w:val="center"/>
          </w:tcPr>
          <w:p>
            <w:pPr>
              <w:pStyle w:val="TableContents"/>
              <w:rPr/>
            </w:pPr>
            <w:r>
              <w:rPr/>
              <w:t>Section 41 is incomplete. Does not list CA's enforcement, penalty, or administrative override powers, leaving statutory framework fractured and difficult to administer.</w:t>
            </w:r>
          </w:p>
        </w:tc>
      </w:tr>
      <w:tr>
        <w:trPr>
          <w:cantSplit/>
        </w:trPr>
        <w:tc>
          <w:tcPr>
            <w:tcW w:w="481" w:type="dxa"/>
            <w:tcBorders>
              <w:start w:val="single" w:sz="4" w:space="0" w:color="000000"/>
              <w:bottom w:val="single" w:sz="4" w:space="0" w:color="000000"/>
            </w:tcBorders>
            <w:vAlign w:val="center"/>
          </w:tcPr>
          <w:p>
            <w:pPr>
              <w:pStyle w:val="TableContents"/>
              <w:rPr/>
            </w:pPr>
            <w:r>
              <w:rPr/>
              <w:t>132</w:t>
            </w:r>
          </w:p>
        </w:tc>
        <w:tc>
          <w:tcPr>
            <w:tcW w:w="985" w:type="dxa"/>
            <w:tcBorders>
              <w:start w:val="single" w:sz="4" w:space="0" w:color="000000"/>
              <w:bottom w:val="single" w:sz="4" w:space="0" w:color="000000"/>
            </w:tcBorders>
            <w:vAlign w:val="center"/>
          </w:tcPr>
          <w:p>
            <w:pPr>
              <w:pStyle w:val="TableContents"/>
              <w:rPr/>
            </w:pPr>
            <w:r>
              <w:rPr/>
              <w:t>41</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No processing or indexing of annual submitted documents.</w:t>
            </w:r>
          </w:p>
        </w:tc>
        <w:tc>
          <w:tcPr>
            <w:tcW w:w="4546" w:type="dxa"/>
            <w:tcBorders>
              <w:start w:val="single" w:sz="4" w:space="0" w:color="000000"/>
              <w:bottom w:val="single" w:sz="4" w:space="0" w:color="000000"/>
            </w:tcBorders>
            <w:vAlign w:val="center"/>
          </w:tcPr>
          <w:p>
            <w:pPr>
              <w:pStyle w:val="TableContents"/>
              <w:rPr/>
            </w:pPr>
            <w:r>
              <w:rPr/>
              <w:t>Insert Sections 41C, 41D, 41E: (41C) Processing, verification and indexing; (41D) Evidentiary value of registered and indexed records; (41E) Obligation to maintain digital dossiers.</w:t>
            </w:r>
          </w:p>
        </w:tc>
        <w:tc>
          <w:tcPr>
            <w:tcW w:w="4402" w:type="dxa"/>
            <w:tcBorders>
              <w:start w:val="single" w:sz="4" w:space="0" w:color="000000"/>
              <w:bottom w:val="single" w:sz="4" w:space="0" w:color="000000"/>
              <w:end w:val="single" w:sz="4" w:space="0" w:color="000000"/>
            </w:tcBorders>
            <w:vAlign w:val="center"/>
          </w:tcPr>
          <w:p>
            <w:pPr>
              <w:pStyle w:val="TableContents"/>
              <w:rPr/>
            </w:pPr>
            <w:r>
              <w:rPr/>
              <w:t>Without processing and indexing, annual submissions are "file and forget." No evidentiary presumption. CA can demand fresh production.</w:t>
            </w:r>
          </w:p>
        </w:tc>
      </w:tr>
      <w:tr>
        <w:trPr>
          <w:cantSplit/>
        </w:trPr>
        <w:tc>
          <w:tcPr>
            <w:tcW w:w="481" w:type="dxa"/>
            <w:tcBorders>
              <w:start w:val="single" w:sz="4" w:space="0" w:color="000000"/>
              <w:bottom w:val="single" w:sz="4" w:space="0" w:color="000000"/>
            </w:tcBorders>
            <w:vAlign w:val="center"/>
          </w:tcPr>
          <w:p>
            <w:pPr>
              <w:pStyle w:val="TableContents"/>
              <w:rPr/>
            </w:pPr>
            <w:r>
              <w:rPr/>
              <w:t>133</w:t>
            </w:r>
          </w:p>
        </w:tc>
        <w:tc>
          <w:tcPr>
            <w:tcW w:w="985" w:type="dxa"/>
            <w:tcBorders>
              <w:start w:val="single" w:sz="4" w:space="0" w:color="000000"/>
              <w:bottom w:val="single" w:sz="4" w:space="0" w:color="000000"/>
            </w:tcBorders>
            <w:vAlign w:val="center"/>
          </w:tcPr>
          <w:p>
            <w:pPr>
              <w:pStyle w:val="TableContents"/>
              <w:rPr/>
            </w:pPr>
            <w:r>
              <w:rPr/>
              <w:t>41</w:t>
            </w:r>
          </w:p>
        </w:tc>
        <w:tc>
          <w:tcPr>
            <w:tcW w:w="1597" w:type="dxa"/>
            <w:tcBorders>
              <w:start w:val="single" w:sz="4" w:space="0" w:color="000000"/>
              <w:bottom w:val="single" w:sz="4" w:space="0" w:color="000000"/>
            </w:tcBorders>
            <w:vAlign w:val="center"/>
          </w:tcPr>
          <w:p>
            <w:pPr>
              <w:pStyle w:val="TableContents"/>
              <w:rPr/>
            </w:pPr>
            <w:r>
              <w:rPr/>
              <w:t>Functions</w:t>
            </w:r>
          </w:p>
        </w:tc>
        <w:tc>
          <w:tcPr>
            <w:tcW w:w="3921" w:type="dxa"/>
            <w:tcBorders>
              <w:start w:val="single" w:sz="4" w:space="0" w:color="000000"/>
              <w:bottom w:val="single" w:sz="4" w:space="0" w:color="000000"/>
            </w:tcBorders>
            <w:vAlign w:val="center"/>
          </w:tcPr>
          <w:p>
            <w:pPr>
              <w:pStyle w:val="TableContents"/>
              <w:rPr/>
            </w:pPr>
            <w:r>
              <w:rPr/>
              <w:t>Multiple gaps - CA's duties are not fully specified.</w:t>
            </w:r>
          </w:p>
        </w:tc>
        <w:tc>
          <w:tcPr>
            <w:tcW w:w="4546" w:type="dxa"/>
            <w:tcBorders>
              <w:start w:val="single" w:sz="4" w:space="0" w:color="000000"/>
              <w:bottom w:val="single" w:sz="4" w:space="0" w:color="000000"/>
            </w:tcBorders>
            <w:vAlign w:val="center"/>
          </w:tcPr>
          <w:p>
            <w:pPr>
              <w:pStyle w:val="TableContents"/>
              <w:rPr/>
            </w:pPr>
            <w:r>
              <w:rPr/>
              <w:t>See attached document for comprehensive list of gaps.</w:t>
            </w:r>
          </w:p>
        </w:tc>
        <w:tc>
          <w:tcPr>
            <w:tcW w:w="4402" w:type="dxa"/>
            <w:tcBorders>
              <w:start w:val="single" w:sz="4" w:space="0" w:color="000000"/>
              <w:bottom w:val="single" w:sz="4" w:space="0" w:color="000000"/>
              <w:end w:val="single" w:sz="4" w:space="0" w:color="000000"/>
            </w:tcBorders>
            <w:vAlign w:val="center"/>
          </w:tcPr>
          <w:p>
            <w:pPr>
              <w:pStyle w:val="TableContents"/>
              <w:rPr/>
            </w:pPr>
            <w:r>
              <w:rPr/>
              <w:t>Functions of CA need comprehensive review.</w:t>
            </w:r>
          </w:p>
        </w:tc>
      </w:tr>
      <w:tr>
        <w:trPr>
          <w:cantSplit/>
        </w:trPr>
        <w:tc>
          <w:tcPr>
            <w:tcW w:w="481" w:type="dxa"/>
            <w:tcBorders>
              <w:start w:val="single" w:sz="4" w:space="0" w:color="000000"/>
              <w:bottom w:val="single" w:sz="4" w:space="0" w:color="000000"/>
            </w:tcBorders>
            <w:vAlign w:val="center"/>
          </w:tcPr>
          <w:p>
            <w:pPr>
              <w:pStyle w:val="TableContents"/>
              <w:rPr/>
            </w:pPr>
            <w:r>
              <w:rPr/>
              <w:t>134</w:t>
            </w:r>
          </w:p>
        </w:tc>
        <w:tc>
          <w:tcPr>
            <w:tcW w:w="985" w:type="dxa"/>
            <w:tcBorders>
              <w:start w:val="single" w:sz="4" w:space="0" w:color="000000"/>
              <w:bottom w:val="single" w:sz="4" w:space="0" w:color="000000"/>
            </w:tcBorders>
            <w:vAlign w:val="center"/>
          </w:tcPr>
          <w:p>
            <w:pPr>
              <w:pStyle w:val="TableContents"/>
              <w:rPr/>
            </w:pPr>
            <w:r>
              <w:rPr/>
              <w:t>41(a)</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"in accordance with such procedure and criteria as may be prescribed" - valid reference.</w:t>
            </w:r>
          </w:p>
        </w:tc>
        <w:tc>
          <w:tcPr>
            <w:tcW w:w="4546" w:type="dxa"/>
            <w:tcBorders>
              <w:start w:val="single" w:sz="4" w:space="0" w:color="000000"/>
              <w:bottom w:val="single" w:sz="4" w:space="0" w:color="000000"/>
            </w:tcBorders>
            <w:vAlign w:val="center"/>
          </w:tcPr>
          <w:p>
            <w:pPr>
              <w:pStyle w:val="TableContents"/>
              <w:rPr/>
            </w:pPr>
            <w:r>
              <w:rPr/>
              <w:t>No change needed.</w:t>
            </w:r>
          </w:p>
        </w:tc>
        <w:tc>
          <w:tcPr>
            <w:tcW w:w="4402" w:type="dxa"/>
            <w:tcBorders>
              <w:start w:val="single" w:sz="4" w:space="0" w:color="000000"/>
              <w:bottom w:val="single" w:sz="4" w:space="0" w:color="000000"/>
              <w:end w:val="single" w:sz="4" w:space="0" w:color="000000"/>
            </w:tcBorders>
            <w:vAlign w:val="center"/>
          </w:tcPr>
          <w:p>
            <w:pPr>
              <w:pStyle w:val="TableContents"/>
              <w:rPr/>
            </w:pPr>
            <w:r>
              <w:rPr/>
              <w:t>Section 62 rule-making power.</w:t>
            </w:r>
          </w:p>
        </w:tc>
      </w:tr>
      <w:tr>
        <w:trPr>
          <w:cantSplit/>
        </w:trPr>
        <w:tc>
          <w:tcPr>
            <w:tcW w:w="481" w:type="dxa"/>
            <w:tcBorders>
              <w:start w:val="single" w:sz="4" w:space="0" w:color="000000"/>
              <w:bottom w:val="single" w:sz="4" w:space="0" w:color="000000"/>
            </w:tcBorders>
            <w:vAlign w:val="center"/>
          </w:tcPr>
          <w:p>
            <w:pPr>
              <w:pStyle w:val="TableContents"/>
              <w:rPr/>
            </w:pPr>
            <w:r>
              <w:rPr/>
              <w:t>135</w:t>
            </w:r>
          </w:p>
        </w:tc>
        <w:tc>
          <w:tcPr>
            <w:tcW w:w="985" w:type="dxa"/>
            <w:tcBorders>
              <w:start w:val="single" w:sz="4" w:space="0" w:color="000000"/>
              <w:bottom w:val="single" w:sz="4" w:space="0" w:color="000000"/>
            </w:tcBorders>
            <w:vAlign w:val="center"/>
          </w:tcPr>
          <w:p>
            <w:pPr>
              <w:pStyle w:val="TableContents"/>
              <w:rPr/>
            </w:pPr>
            <w:r>
              <w:rPr/>
              <w:t>41(b)</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CA to "maintain register of declarations" but no power to maintain complete project file.</w:t>
            </w:r>
          </w:p>
        </w:tc>
        <w:tc>
          <w:tcPr>
            <w:tcW w:w="4546" w:type="dxa"/>
            <w:tcBorders>
              <w:start w:val="single" w:sz="4" w:space="0" w:color="000000"/>
              <w:bottom w:val="single" w:sz="4" w:space="0" w:color="000000"/>
            </w:tcBorders>
            <w:vAlign w:val="center"/>
          </w:tcPr>
          <w:p>
            <w:pPr>
              <w:pStyle w:val="TableContents"/>
              <w:rPr/>
            </w:pPr>
            <w:r>
              <w:rPr/>
              <w:t>Amend: (b) to receive, scrutinise and maintain a register of declarations... and to maintain a complete file containing all documents submitted to RERA for the project, obtained under Section 13A.</w:t>
            </w:r>
          </w:p>
        </w:tc>
        <w:tc>
          <w:tcPr>
            <w:tcW w:w="4402" w:type="dxa"/>
            <w:tcBorders>
              <w:start w:val="single" w:sz="4" w:space="0" w:color="000000"/>
              <w:bottom w:val="single" w:sz="4" w:space="0" w:color="000000"/>
              <w:end w:val="single" w:sz="4" w:space="0" w:color="000000"/>
            </w:tcBorders>
            <w:vAlign w:val="center"/>
          </w:tcPr>
          <w:p>
            <w:pPr>
              <w:pStyle w:val="TableContents"/>
              <w:rPr/>
            </w:pPr>
            <w:r>
              <w:rPr/>
              <w:t>Without complete file, cross-verification impossible.</w:t>
            </w:r>
          </w:p>
        </w:tc>
      </w:tr>
      <w:tr>
        <w:trPr>
          <w:cantSplit/>
        </w:trPr>
        <w:tc>
          <w:tcPr>
            <w:tcW w:w="481" w:type="dxa"/>
            <w:tcBorders>
              <w:start w:val="single" w:sz="4" w:space="0" w:color="000000"/>
              <w:bottom w:val="single" w:sz="4" w:space="0" w:color="000000"/>
            </w:tcBorders>
            <w:vAlign w:val="center"/>
          </w:tcPr>
          <w:p>
            <w:pPr>
              <w:pStyle w:val="TableContents"/>
              <w:rPr/>
            </w:pPr>
            <w:r>
              <w:rPr/>
              <w:t>136</w:t>
            </w:r>
          </w:p>
        </w:tc>
        <w:tc>
          <w:tcPr>
            <w:tcW w:w="985" w:type="dxa"/>
            <w:tcBorders>
              <w:start w:val="single" w:sz="4" w:space="0" w:color="000000"/>
              <w:bottom w:val="single" w:sz="4" w:space="0" w:color="000000"/>
            </w:tcBorders>
            <w:vAlign w:val="center"/>
          </w:tcPr>
          <w:p>
            <w:pPr>
              <w:pStyle w:val="TableContents"/>
              <w:rPr/>
            </w:pPr>
            <w:r>
              <w:rPr/>
              <w:t>41(f)</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"containing details of registered associations, declarations, bye-laws and such other information as may be prescribed" - valid.</w:t>
            </w:r>
          </w:p>
        </w:tc>
        <w:tc>
          <w:tcPr>
            <w:tcW w:w="4546" w:type="dxa"/>
            <w:tcBorders>
              <w:start w:val="single" w:sz="4" w:space="0" w:color="000000"/>
              <w:bottom w:val="single" w:sz="4" w:space="0" w:color="000000"/>
            </w:tcBorders>
            <w:vAlign w:val="center"/>
          </w:tcPr>
          <w:p>
            <w:pPr>
              <w:pStyle w:val="TableContents"/>
              <w:rPr/>
            </w:pPr>
            <w:r>
              <w:rPr/>
              <w:t>No change needed.</w:t>
            </w:r>
          </w:p>
        </w:tc>
        <w:tc>
          <w:tcPr>
            <w:tcW w:w="4402" w:type="dxa"/>
            <w:tcBorders>
              <w:start w:val="single" w:sz="4" w:space="0" w:color="000000"/>
              <w:bottom w:val="single" w:sz="4" w:space="0" w:color="000000"/>
              <w:end w:val="single" w:sz="4" w:space="0" w:color="000000"/>
            </w:tcBorders>
            <w:vAlign w:val="center"/>
          </w:tcPr>
          <w:p>
            <w:pPr>
              <w:pStyle w:val="TableContents"/>
              <w:rPr/>
            </w:pPr>
            <w:r>
              <w:rPr/>
              <w:t>Section 62 rule-making power.</w:t>
            </w:r>
          </w:p>
        </w:tc>
      </w:tr>
      <w:tr>
        <w:trPr>
          <w:cantSplit/>
        </w:trPr>
        <w:tc>
          <w:tcPr>
            <w:tcW w:w="481" w:type="dxa"/>
            <w:tcBorders>
              <w:start w:val="single" w:sz="4" w:space="0" w:color="000000"/>
              <w:bottom w:val="single" w:sz="4" w:space="0" w:color="000000"/>
            </w:tcBorders>
            <w:vAlign w:val="center"/>
          </w:tcPr>
          <w:p>
            <w:pPr>
              <w:pStyle w:val="TableContents"/>
              <w:rPr/>
            </w:pPr>
            <w:r>
              <w:rPr/>
              <w:t>137</w:t>
            </w:r>
          </w:p>
        </w:tc>
        <w:tc>
          <w:tcPr>
            <w:tcW w:w="985" w:type="dxa"/>
            <w:tcBorders>
              <w:start w:val="single" w:sz="4" w:space="0" w:color="000000"/>
              <w:bottom w:val="single" w:sz="4" w:space="0" w:color="000000"/>
            </w:tcBorders>
            <w:vAlign w:val="center"/>
          </w:tcPr>
          <w:p>
            <w:pPr>
              <w:pStyle w:val="TableContents"/>
              <w:rPr/>
            </w:pPr>
            <w:r>
              <w:rPr/>
              <w:t>41(i)</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"except in accordance with the provisions of this Act" - vague.</w:t>
            </w:r>
          </w:p>
        </w:tc>
        <w:tc>
          <w:tcPr>
            <w:tcW w:w="4546" w:type="dxa"/>
            <w:tcBorders>
              <w:start w:val="single" w:sz="4" w:space="0" w:color="000000"/>
              <w:bottom w:val="single" w:sz="4" w:space="0" w:color="000000"/>
            </w:tcBorders>
            <w:vAlign w:val="center"/>
          </w:tcPr>
          <w:p>
            <w:pPr>
              <w:pStyle w:val="TableContents"/>
              <w:rPr/>
            </w:pPr>
            <w:r>
              <w:rPr/>
              <w:t>"except in accordance with section 6 and section 7"</w:t>
            </w:r>
          </w:p>
        </w:tc>
        <w:tc>
          <w:tcPr>
            <w:tcW w:w="4402" w:type="dxa"/>
            <w:tcBorders>
              <w:start w:val="single" w:sz="4" w:space="0" w:color="000000"/>
              <w:bottom w:val="single" w:sz="4" w:space="0" w:color="000000"/>
              <w:end w:val="single" w:sz="4" w:space="0" w:color="000000"/>
            </w:tcBorders>
            <w:vAlign w:val="center"/>
          </w:tcPr>
          <w:p>
            <w:pPr>
              <w:pStyle w:val="TableContents"/>
              <w:rPr/>
            </w:pPr>
            <w:r>
              <w:rPr/>
              <w:t>Should reference specific sections.</w:t>
            </w:r>
          </w:p>
        </w:tc>
      </w:tr>
      <w:tr>
        <w:trPr>
          <w:cantSplit/>
        </w:trPr>
        <w:tc>
          <w:tcPr>
            <w:tcW w:w="481" w:type="dxa"/>
            <w:tcBorders>
              <w:start w:val="single" w:sz="4" w:space="0" w:color="000000"/>
              <w:bottom w:val="single" w:sz="4" w:space="0" w:color="000000"/>
            </w:tcBorders>
            <w:vAlign w:val="center"/>
          </w:tcPr>
          <w:p>
            <w:pPr>
              <w:pStyle w:val="TableContents"/>
              <w:rPr/>
            </w:pPr>
            <w:r>
              <w:rPr/>
              <w:t>138</w:t>
            </w:r>
          </w:p>
        </w:tc>
        <w:tc>
          <w:tcPr>
            <w:tcW w:w="985" w:type="dxa"/>
            <w:tcBorders>
              <w:start w:val="single" w:sz="4" w:space="0" w:color="000000"/>
              <w:bottom w:val="single" w:sz="4" w:space="0" w:color="000000"/>
            </w:tcBorders>
            <w:vAlign w:val="center"/>
          </w:tcPr>
          <w:p>
            <w:pPr>
              <w:pStyle w:val="TableContents"/>
              <w:rPr/>
            </w:pPr>
            <w:r>
              <w:rPr/>
              <w:t>41(m)</w:t>
            </w:r>
          </w:p>
        </w:tc>
        <w:tc>
          <w:tcPr>
            <w:tcW w:w="1597" w:type="dxa"/>
            <w:tcBorders>
              <w:start w:val="single" w:sz="4" w:space="0" w:color="000000"/>
              <w:bottom w:val="single" w:sz="4" w:space="0" w:color="000000"/>
            </w:tcBorders>
            <w:vAlign w:val="center"/>
          </w:tcPr>
          <w:p>
            <w:pPr>
              <w:pStyle w:val="TableContents"/>
              <w:rPr/>
            </w:pPr>
            <w:r>
              <w:rPr/>
              <w:t>Record Integrity</w:t>
            </w:r>
          </w:p>
        </w:tc>
        <w:tc>
          <w:tcPr>
            <w:tcW w:w="3921" w:type="dxa"/>
            <w:tcBorders>
              <w:start w:val="single" w:sz="4" w:space="0" w:color="000000"/>
              <w:bottom w:val="single" w:sz="4" w:space="0" w:color="000000"/>
            </w:tcBorders>
            <w:vAlign w:val="center"/>
          </w:tcPr>
          <w:p>
            <w:pPr>
              <w:pStyle w:val="TableContents"/>
              <w:rPr/>
            </w:pPr>
            <w:r>
              <w:rPr/>
              <w:t>No mandate for integrated electronic registry with automated verification.</w:t>
            </w:r>
          </w:p>
        </w:tc>
        <w:tc>
          <w:tcPr>
            <w:tcW w:w="4546" w:type="dxa"/>
            <w:tcBorders>
              <w:start w:val="single" w:sz="4" w:space="0" w:color="000000"/>
              <w:bottom w:val="single" w:sz="4" w:space="0" w:color="000000"/>
            </w:tcBorders>
            <w:vAlign w:val="center"/>
          </w:tcPr>
          <w:p>
            <w:pPr>
              <w:pStyle w:val="TableContents"/>
              <w:rPr/>
            </w:pPr>
            <w:r>
              <w:rPr/>
              <w:t>Add: "(m) to establish and maintain an integrated electronic registry that: (i) automatically enforces mathematical verification of all filings; (ii) cross-verifies filings with sanctioned plan; (iii) verifies consent proof for amendments; (iv) synchronises data with Revenue Department, Sub-Registrar, KRERA, and Local Authority; (v) maintains complete audit trail."</w:t>
            </w:r>
          </w:p>
        </w:tc>
        <w:tc>
          <w:tcPr>
            <w:tcW w:w="4402" w:type="dxa"/>
            <w:tcBorders>
              <w:start w:val="single" w:sz="4" w:space="0" w:color="000000"/>
              <w:bottom w:val="single" w:sz="4" w:space="0" w:color="000000"/>
              <w:end w:val="single" w:sz="4" w:space="0" w:color="000000"/>
            </w:tcBorders>
            <w:vAlign w:val="center"/>
          </w:tcPr>
          <w:p>
            <w:pPr>
              <w:pStyle w:val="TableContents"/>
              <w:rPr/>
            </w:pPr>
            <w:r>
              <w:rPr/>
              <w:t>Without integrated registry, records remain in silos. No automated cross-verification. Passport to disparity.</w:t>
            </w:r>
          </w:p>
        </w:tc>
      </w:tr>
      <w:tr>
        <w:trPr>
          <w:cantSplit/>
        </w:trPr>
        <w:tc>
          <w:tcPr>
            <w:tcW w:w="481" w:type="dxa"/>
            <w:tcBorders>
              <w:start w:val="single" w:sz="4" w:space="0" w:color="000000"/>
              <w:bottom w:val="single" w:sz="4" w:space="0" w:color="000000"/>
            </w:tcBorders>
            <w:vAlign w:val="center"/>
          </w:tcPr>
          <w:p>
            <w:pPr>
              <w:pStyle w:val="TableContents"/>
              <w:rPr/>
            </w:pPr>
            <w:r>
              <w:rPr/>
              <w:t>139</w:t>
            </w:r>
          </w:p>
        </w:tc>
        <w:tc>
          <w:tcPr>
            <w:tcW w:w="985" w:type="dxa"/>
            <w:tcBorders>
              <w:start w:val="single" w:sz="4" w:space="0" w:color="000000"/>
              <w:bottom w:val="single" w:sz="4" w:space="0" w:color="000000"/>
            </w:tcBorders>
            <w:vAlign w:val="center"/>
          </w:tcPr>
          <w:p>
            <w:pPr>
              <w:pStyle w:val="TableContents"/>
              <w:rPr/>
            </w:pPr>
            <w:r>
              <w:rPr/>
              <w:t>42(5)</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"in such manner as may be prescribed" - valid.</w:t>
            </w:r>
          </w:p>
        </w:tc>
        <w:tc>
          <w:tcPr>
            <w:tcW w:w="4546" w:type="dxa"/>
            <w:tcBorders>
              <w:start w:val="single" w:sz="4" w:space="0" w:color="000000"/>
              <w:bottom w:val="single" w:sz="4" w:space="0" w:color="000000"/>
            </w:tcBorders>
            <w:vAlign w:val="center"/>
          </w:tcPr>
          <w:p>
            <w:pPr>
              <w:pStyle w:val="TableContents"/>
              <w:rPr/>
            </w:pPr>
            <w:r>
              <w:rPr/>
              <w:t>No change needed.</w:t>
            </w:r>
          </w:p>
        </w:tc>
        <w:tc>
          <w:tcPr>
            <w:tcW w:w="4402" w:type="dxa"/>
            <w:tcBorders>
              <w:start w:val="single" w:sz="4" w:space="0" w:color="000000"/>
              <w:bottom w:val="single" w:sz="4" w:space="0" w:color="000000"/>
              <w:end w:val="single" w:sz="4" w:space="0" w:color="000000"/>
            </w:tcBorders>
            <w:vAlign w:val="center"/>
          </w:tcPr>
          <w:p>
            <w:pPr>
              <w:pStyle w:val="TableContents"/>
              <w:rPr/>
            </w:pPr>
            <w:r>
              <w:rPr/>
              <w:t>Section 62 rule-making power.</w:t>
            </w:r>
          </w:p>
        </w:tc>
      </w:tr>
      <w:tr>
        <w:trPr>
          <w:cantSplit/>
        </w:trPr>
        <w:tc>
          <w:tcPr>
            <w:tcW w:w="481" w:type="dxa"/>
            <w:tcBorders>
              <w:start w:val="single" w:sz="4" w:space="0" w:color="000000"/>
              <w:bottom w:val="single" w:sz="4" w:space="0" w:color="000000"/>
            </w:tcBorders>
            <w:vAlign w:val="center"/>
          </w:tcPr>
          <w:p>
            <w:pPr>
              <w:pStyle w:val="TableContents"/>
              <w:rPr/>
            </w:pPr>
            <w:r>
              <w:rPr/>
              <w:t>140</w:t>
            </w:r>
          </w:p>
        </w:tc>
        <w:tc>
          <w:tcPr>
            <w:tcW w:w="985" w:type="dxa"/>
            <w:tcBorders>
              <w:start w:val="single" w:sz="4" w:space="0" w:color="000000"/>
              <w:bottom w:val="single" w:sz="4" w:space="0" w:color="000000"/>
            </w:tcBorders>
            <w:vAlign w:val="center"/>
          </w:tcPr>
          <w:p>
            <w:pPr>
              <w:pStyle w:val="TableContents"/>
              <w:rPr/>
            </w:pPr>
            <w:r>
              <w:rPr/>
              <w:t>42(6)</w:t>
            </w:r>
          </w:p>
        </w:tc>
        <w:tc>
          <w:tcPr>
            <w:tcW w:w="1597" w:type="dxa"/>
            <w:tcBorders>
              <w:start w:val="single" w:sz="4" w:space="0" w:color="000000"/>
              <w:bottom w:val="single" w:sz="4" w:space="0" w:color="000000"/>
            </w:tcBorders>
            <w:vAlign w:val="center"/>
          </w:tcPr>
          <w:p>
            <w:pPr>
              <w:pStyle w:val="TableContents"/>
              <w:rPr/>
            </w:pPr>
            <w:r>
              <w:rPr/>
              <w:t>Recovery</w:t>
            </w:r>
          </w:p>
        </w:tc>
        <w:tc>
          <w:tcPr>
            <w:tcW w:w="3921" w:type="dxa"/>
            <w:tcBorders>
              <w:start w:val="single" w:sz="4" w:space="0" w:color="000000"/>
              <w:bottom w:val="single" w:sz="4" w:space="0" w:color="000000"/>
            </w:tcBorders>
            <w:vAlign w:val="center"/>
          </w:tcPr>
          <w:p>
            <w:pPr>
              <w:pStyle w:val="TableContents"/>
              <w:rPr/>
            </w:pPr>
            <w:r>
              <w:rPr/>
              <w:t>Recovery as "arrears of land revenue" is effective, but does not mandate automatic referral.</w:t>
            </w:r>
          </w:p>
        </w:tc>
        <w:tc>
          <w:tcPr>
            <w:tcW w:w="4546" w:type="dxa"/>
            <w:tcBorders>
              <w:start w:val="single" w:sz="4" w:space="0" w:color="000000"/>
              <w:bottom w:val="single" w:sz="4" w:space="0" w:color="000000"/>
            </w:tcBorders>
            <w:vAlign w:val="center"/>
          </w:tcPr>
          <w:p>
            <w:pPr>
              <w:pStyle w:val="TableContents"/>
              <w:rPr/>
            </w:pPr>
            <w:r>
              <w:rPr/>
              <w:t>Insert: "The Competent Authority shall, if the amount remains unpaid for thirty days after the final order, automatically forward the recovery certificate to the Deputy Commissioner/Tahsildar for execution without any further application by the association."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Procedural Hurdles: Currently, CA must initiate recovery each time. Automatic forwarding ensures CA cannot be pressured to delay referral, enforcing timely financial discipline.</w:t>
            </w:r>
          </w:p>
        </w:tc>
      </w:tr>
      <w:tr>
        <w:trPr>
          <w:cantSplit/>
        </w:trPr>
        <w:tc>
          <w:tcPr>
            <w:tcW w:w="481" w:type="dxa"/>
            <w:tcBorders>
              <w:start w:val="single" w:sz="4" w:space="0" w:color="000000"/>
              <w:bottom w:val="single" w:sz="4" w:space="0" w:color="000000"/>
            </w:tcBorders>
            <w:vAlign w:val="center"/>
          </w:tcPr>
          <w:p>
            <w:pPr>
              <w:pStyle w:val="TableContents"/>
              <w:rPr/>
            </w:pPr>
            <w:r>
              <w:rPr/>
              <w:t>141</w:t>
            </w:r>
          </w:p>
        </w:tc>
        <w:tc>
          <w:tcPr>
            <w:tcW w:w="985" w:type="dxa"/>
            <w:tcBorders>
              <w:start w:val="single" w:sz="4" w:space="0" w:color="000000"/>
              <w:bottom w:val="single" w:sz="4" w:space="0" w:color="000000"/>
            </w:tcBorders>
            <w:vAlign w:val="center"/>
          </w:tcPr>
          <w:p>
            <w:pPr>
              <w:pStyle w:val="TableContents"/>
              <w:rPr/>
            </w:pPr>
            <w:r>
              <w:rPr/>
              <w:t>44(1)</w:t>
            </w:r>
          </w:p>
        </w:tc>
        <w:tc>
          <w:tcPr>
            <w:tcW w:w="1597" w:type="dxa"/>
            <w:tcBorders>
              <w:start w:val="single" w:sz="4" w:space="0" w:color="000000"/>
              <w:bottom w:val="single" w:sz="4" w:space="0" w:color="000000"/>
            </w:tcBorders>
            <w:vAlign w:val="center"/>
          </w:tcPr>
          <w:p>
            <w:pPr>
              <w:pStyle w:val="TableContents"/>
              <w:rPr/>
            </w:pPr>
            <w:r>
              <w:rPr/>
              <w:t>Emergency Powers</w:t>
            </w:r>
          </w:p>
        </w:tc>
        <w:tc>
          <w:tcPr>
            <w:tcW w:w="3921" w:type="dxa"/>
            <w:tcBorders>
              <w:start w:val="single" w:sz="4" w:space="0" w:color="000000"/>
              <w:bottom w:val="single" w:sz="4" w:space="0" w:color="000000"/>
            </w:tcBorders>
            <w:vAlign w:val="center"/>
          </w:tcPr>
          <w:p>
            <w:pPr>
              <w:pStyle w:val="TableContents"/>
              <w:rPr/>
            </w:pPr>
            <w:r>
              <w:rPr/>
              <w:t>CA can assume functions of dysfunctional association only with written consent of ≥2/3rds of owners. No suo motu emergency power.</w:t>
            </w:r>
          </w:p>
        </w:tc>
        <w:tc>
          <w:tcPr>
            <w:tcW w:w="4546" w:type="dxa"/>
            <w:tcBorders>
              <w:start w:val="single" w:sz="4" w:space="0" w:color="000000"/>
              <w:bottom w:val="single" w:sz="4" w:space="0" w:color="000000"/>
            </w:tcBorders>
            <w:vAlign w:val="center"/>
          </w:tcPr>
          <w:p>
            <w:pPr>
              <w:pStyle w:val="TableContents"/>
              <w:rPr/>
            </w:pPr>
            <w:r>
              <w:rPr/>
              <w:t>Insert proviso: "Provided that where the Competent Authority receives credible information (including from the local authority or a minimum of 25% of owners) that the association's failure poses an imminent threat to structural safety or public health, the CA may assume functions for a period not exceeding 90 days without the 2/3rds consent requirement."</w:t>
            </w:r>
          </w:p>
        </w:tc>
        <w:tc>
          <w:tcPr>
            <w:tcW w:w="4402" w:type="dxa"/>
            <w:tcBorders>
              <w:start w:val="single" w:sz="4" w:space="0" w:color="000000"/>
              <w:bottom w:val="single" w:sz="4" w:space="0" w:color="000000"/>
              <w:end w:val="single" w:sz="4" w:space="0" w:color="000000"/>
            </w:tcBorders>
            <w:vAlign w:val="center"/>
          </w:tcPr>
          <w:p>
            <w:pPr>
              <w:pStyle w:val="TableContents"/>
              <w:rPr/>
            </w:pPr>
            <w:r>
              <w:rPr/>
              <w:t>Public Safety Failure: If building is collapsing and only 50% of owners complain, CA cannot intervene to save lives. Emergency power critical to prevent structural catastrophes in divided societies.</w:t>
            </w:r>
          </w:p>
        </w:tc>
      </w:tr>
      <w:tr>
        <w:trPr>
          <w:cantSplit/>
        </w:trPr>
        <w:tc>
          <w:tcPr>
            <w:tcW w:w="481" w:type="dxa"/>
            <w:tcBorders>
              <w:start w:val="single" w:sz="4" w:space="0" w:color="000000"/>
              <w:bottom w:val="single" w:sz="4" w:space="0" w:color="000000"/>
            </w:tcBorders>
            <w:vAlign w:val="center"/>
          </w:tcPr>
          <w:p>
            <w:pPr>
              <w:pStyle w:val="TableContents"/>
              <w:rPr/>
            </w:pPr>
            <w:r>
              <w:rPr/>
              <w:t>142</w:t>
            </w:r>
          </w:p>
        </w:tc>
        <w:tc>
          <w:tcPr>
            <w:tcW w:w="985" w:type="dxa"/>
            <w:tcBorders>
              <w:start w:val="single" w:sz="4" w:space="0" w:color="000000"/>
              <w:bottom w:val="single" w:sz="4" w:space="0" w:color="000000"/>
            </w:tcBorders>
            <w:vAlign w:val="center"/>
          </w:tcPr>
          <w:p>
            <w:pPr>
              <w:pStyle w:val="TableContents"/>
              <w:rPr/>
            </w:pPr>
            <w:r>
              <w:rPr/>
              <w:t>44(1)</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"in writing and in such manner as may be prescribed" - valid.</w:t>
            </w:r>
          </w:p>
        </w:tc>
        <w:tc>
          <w:tcPr>
            <w:tcW w:w="4546" w:type="dxa"/>
            <w:tcBorders>
              <w:start w:val="single" w:sz="4" w:space="0" w:color="000000"/>
              <w:bottom w:val="single" w:sz="4" w:space="0" w:color="000000"/>
            </w:tcBorders>
            <w:vAlign w:val="center"/>
          </w:tcPr>
          <w:p>
            <w:pPr>
              <w:pStyle w:val="TableContents"/>
              <w:rPr/>
            </w:pPr>
            <w:r>
              <w:rPr/>
              <w:t>No change needed.</w:t>
            </w:r>
          </w:p>
        </w:tc>
        <w:tc>
          <w:tcPr>
            <w:tcW w:w="4402" w:type="dxa"/>
            <w:tcBorders>
              <w:start w:val="single" w:sz="4" w:space="0" w:color="000000"/>
              <w:bottom w:val="single" w:sz="4" w:space="0" w:color="000000"/>
              <w:end w:val="single" w:sz="4" w:space="0" w:color="000000"/>
            </w:tcBorders>
            <w:vAlign w:val="center"/>
          </w:tcPr>
          <w:p>
            <w:pPr>
              <w:pStyle w:val="TableContents"/>
              <w:rPr/>
            </w:pPr>
            <w:r>
              <w:rPr/>
              <w:t>Section 62 rule-making power.</w:t>
            </w:r>
          </w:p>
        </w:tc>
      </w:tr>
      <w:tr>
        <w:trPr>
          <w:cantSplit/>
        </w:trPr>
        <w:tc>
          <w:tcPr>
            <w:tcW w:w="481" w:type="dxa"/>
            <w:tcBorders>
              <w:start w:val="single" w:sz="4" w:space="0" w:color="000000"/>
              <w:bottom w:val="single" w:sz="4" w:space="0" w:color="000000"/>
            </w:tcBorders>
            <w:vAlign w:val="center"/>
          </w:tcPr>
          <w:p>
            <w:pPr>
              <w:pStyle w:val="TableContents"/>
              <w:rPr/>
            </w:pPr>
            <w:r>
              <w:rPr/>
              <w:t>143</w:t>
            </w:r>
          </w:p>
        </w:tc>
        <w:tc>
          <w:tcPr>
            <w:tcW w:w="985" w:type="dxa"/>
            <w:tcBorders>
              <w:start w:val="single" w:sz="4" w:space="0" w:color="000000"/>
              <w:bottom w:val="single" w:sz="4" w:space="0" w:color="000000"/>
            </w:tcBorders>
            <w:vAlign w:val="center"/>
          </w:tcPr>
          <w:p>
            <w:pPr>
              <w:pStyle w:val="TableContents"/>
              <w:rPr/>
            </w:pPr>
            <w:r>
              <w:rPr/>
              <w:t>45</w:t>
            </w:r>
          </w:p>
        </w:tc>
        <w:tc>
          <w:tcPr>
            <w:tcW w:w="1597" w:type="dxa"/>
            <w:tcBorders>
              <w:start w:val="single" w:sz="4" w:space="0" w:color="000000"/>
              <w:bottom w:val="single" w:sz="4" w:space="0" w:color="000000"/>
            </w:tcBorders>
            <w:vAlign w:val="center"/>
          </w:tcPr>
          <w:p>
            <w:pPr>
              <w:pStyle w:val="TableContents"/>
              <w:rPr/>
            </w:pPr>
            <w:r>
              <w:rPr/>
              <w:t>Judicial/Qualifications</w:t>
            </w:r>
          </w:p>
        </w:tc>
        <w:tc>
          <w:tcPr>
            <w:tcW w:w="3921" w:type="dxa"/>
            <w:tcBorders>
              <w:start w:val="single" w:sz="4" w:space="0" w:color="000000"/>
              <w:bottom w:val="single" w:sz="4" w:space="0" w:color="000000"/>
            </w:tcBorders>
            <w:vAlign w:val="center"/>
          </w:tcPr>
          <w:p>
            <w:pPr>
              <w:pStyle w:val="TableContents"/>
              <w:rPr/>
            </w:pPr>
            <w:r>
              <w:rPr/>
              <w:t>First Appellate Authority - Group-A officer from ULB, not judicial member.</w:t>
            </w:r>
          </w:p>
        </w:tc>
        <w:tc>
          <w:tcPr>
            <w:tcW w:w="4546" w:type="dxa"/>
            <w:tcBorders>
              <w:start w:val="single" w:sz="4" w:space="0" w:color="000000"/>
              <w:bottom w:val="single" w:sz="4" w:space="0" w:color="000000"/>
            </w:tcBorders>
            <w:vAlign w:val="center"/>
          </w:tcPr>
          <w:p>
            <w:pPr>
              <w:pStyle w:val="TableContents"/>
              <w:rPr/>
            </w:pPr>
            <w:r>
              <w:rPr/>
              <w:t>First Appellate Authority: officer not below Group-A (Senior Scale) OR retired District Judge appointed by Government.</w:t>
            </w:r>
          </w:p>
        </w:tc>
        <w:tc>
          <w:tcPr>
            <w:tcW w:w="4402" w:type="dxa"/>
            <w:tcBorders>
              <w:start w:val="single" w:sz="4" w:space="0" w:color="000000"/>
              <w:bottom w:val="single" w:sz="4" w:space="0" w:color="000000"/>
              <w:end w:val="single" w:sz="4" w:space="0" w:color="000000"/>
            </w:tcBorders>
            <w:vAlign w:val="center"/>
          </w:tcPr>
          <w:p>
            <w:pPr>
              <w:pStyle w:val="TableContents"/>
              <w:rPr/>
            </w:pPr>
            <w:r>
              <w:rPr/>
              <w:t>Government officer tends to treat matters administratively, leading to wasteful, non-judicial reviews. Judicial mind trained to handle evidence, apply res judicata, issue reasoned judgments.</w:t>
            </w:r>
          </w:p>
        </w:tc>
      </w:tr>
      <w:tr>
        <w:trPr>
          <w:cantSplit/>
        </w:trPr>
        <w:tc>
          <w:tcPr>
            <w:tcW w:w="481" w:type="dxa"/>
            <w:tcBorders>
              <w:start w:val="single" w:sz="4" w:space="0" w:color="000000"/>
              <w:bottom w:val="single" w:sz="4" w:space="0" w:color="000000"/>
            </w:tcBorders>
            <w:vAlign w:val="center"/>
          </w:tcPr>
          <w:p>
            <w:pPr>
              <w:pStyle w:val="TableContents"/>
              <w:rPr/>
            </w:pPr>
            <w:r>
              <w:rPr/>
              <w:t>144</w:t>
            </w:r>
          </w:p>
        </w:tc>
        <w:tc>
          <w:tcPr>
            <w:tcW w:w="985" w:type="dxa"/>
            <w:tcBorders>
              <w:start w:val="single" w:sz="4" w:space="0" w:color="000000"/>
              <w:bottom w:val="single" w:sz="4" w:space="0" w:color="000000"/>
            </w:tcBorders>
            <w:vAlign w:val="center"/>
          </w:tcPr>
          <w:p>
            <w:pPr>
              <w:pStyle w:val="TableContents"/>
              <w:rPr/>
            </w:pPr>
            <w:r>
              <w:rPr/>
              <w:t>46</w:t>
            </w:r>
          </w:p>
        </w:tc>
        <w:tc>
          <w:tcPr>
            <w:tcW w:w="1597" w:type="dxa"/>
            <w:tcBorders>
              <w:start w:val="single" w:sz="4" w:space="0" w:color="000000"/>
              <w:bottom w:val="single" w:sz="4" w:space="0" w:color="000000"/>
            </w:tcBorders>
            <w:vAlign w:val="center"/>
          </w:tcPr>
          <w:p>
            <w:pPr>
              <w:pStyle w:val="TableContents"/>
              <w:rPr/>
            </w:pPr>
            <w:r>
              <w:rPr/>
              <w:t>Judicial/Qualifications</w:t>
            </w:r>
          </w:p>
        </w:tc>
        <w:tc>
          <w:tcPr>
            <w:tcW w:w="3921" w:type="dxa"/>
            <w:tcBorders>
              <w:start w:val="single" w:sz="4" w:space="0" w:color="000000"/>
              <w:bottom w:val="single" w:sz="4" w:space="0" w:color="000000"/>
            </w:tcBorders>
            <w:vAlign w:val="center"/>
          </w:tcPr>
          <w:p>
            <w:pPr>
              <w:pStyle w:val="TableContents"/>
              <w:rPr/>
            </w:pPr>
            <w:r>
              <w:rPr/>
              <w:t>Second Appellate Authority - Group-A (Senior Scale), not judicial member.</w:t>
            </w:r>
          </w:p>
        </w:tc>
        <w:tc>
          <w:tcPr>
            <w:tcW w:w="4546" w:type="dxa"/>
            <w:tcBorders>
              <w:start w:val="single" w:sz="4" w:space="0" w:color="000000"/>
              <w:bottom w:val="single" w:sz="4" w:space="0" w:color="000000"/>
            </w:tcBorders>
            <w:vAlign w:val="center"/>
          </w:tcPr>
          <w:p>
            <w:pPr>
              <w:pStyle w:val="TableContents"/>
              <w:rPr/>
            </w:pPr>
            <w:r>
              <w:rPr/>
              <w:t>Delete "Second Appellate Authority" and replace with "Karnataka Apartment Appellate Tribunal" consisting of Judicial Member and Technical Member.</w:t>
            </w:r>
          </w:p>
        </w:tc>
        <w:tc>
          <w:tcPr>
            <w:tcW w:w="4402" w:type="dxa"/>
            <w:tcBorders>
              <w:start w:val="single" w:sz="4" w:space="0" w:color="000000"/>
              <w:bottom w:val="single" w:sz="4" w:space="0" w:color="000000"/>
              <w:end w:val="single" w:sz="4" w:space="0" w:color="000000"/>
            </w:tcBorders>
            <w:vAlign w:val="center"/>
          </w:tcPr>
          <w:p>
            <w:pPr>
              <w:pStyle w:val="TableContents"/>
              <w:rPr/>
            </w:pPr>
            <w:r>
              <w:rPr/>
              <w:t>Second Appellate Authority should be State-Level Tribunal as mentioned in Section 50 for redevelopment. Judicial member necessary for final quasi-judicial authority.</w:t>
            </w:r>
          </w:p>
        </w:tc>
      </w:tr>
      <w:tr>
        <w:trPr>
          <w:cantSplit/>
        </w:trPr>
        <w:tc>
          <w:tcPr>
            <w:tcW w:w="481" w:type="dxa"/>
            <w:tcBorders>
              <w:start w:val="single" w:sz="4" w:space="0" w:color="000000"/>
              <w:bottom w:val="single" w:sz="4" w:space="0" w:color="000000"/>
            </w:tcBorders>
            <w:vAlign w:val="center"/>
          </w:tcPr>
          <w:p>
            <w:pPr>
              <w:pStyle w:val="TableContents"/>
              <w:rPr/>
            </w:pPr>
            <w:r>
              <w:rPr/>
              <w:t>145</w:t>
            </w:r>
          </w:p>
        </w:tc>
        <w:tc>
          <w:tcPr>
            <w:tcW w:w="985" w:type="dxa"/>
            <w:tcBorders>
              <w:start w:val="single" w:sz="4" w:space="0" w:color="000000"/>
              <w:bottom w:val="single" w:sz="4" w:space="0" w:color="000000"/>
            </w:tcBorders>
            <w:vAlign w:val="center"/>
          </w:tcPr>
          <w:p>
            <w:pPr>
              <w:pStyle w:val="TableContents"/>
              <w:rPr/>
            </w:pPr>
            <w:r>
              <w:rPr/>
              <w:t>47</w:t>
            </w:r>
          </w:p>
        </w:tc>
        <w:tc>
          <w:tcPr>
            <w:tcW w:w="1597" w:type="dxa"/>
            <w:tcBorders>
              <w:start w:val="single" w:sz="4" w:space="0" w:color="000000"/>
              <w:bottom w:val="single" w:sz="4" w:space="0" w:color="000000"/>
            </w:tcBorders>
            <w:vAlign w:val="center"/>
          </w:tcPr>
          <w:p>
            <w:pPr>
              <w:pStyle w:val="TableContents"/>
              <w:rPr/>
            </w:pPr>
            <w:r>
              <w:rPr/>
              <w:t>Procedural/Judicial</w:t>
            </w:r>
          </w:p>
        </w:tc>
        <w:tc>
          <w:tcPr>
            <w:tcW w:w="3921" w:type="dxa"/>
            <w:tcBorders>
              <w:start w:val="single" w:sz="4" w:space="0" w:color="000000"/>
              <w:bottom w:val="single" w:sz="4" w:space="0" w:color="000000"/>
            </w:tcBorders>
            <w:vAlign w:val="center"/>
          </w:tcPr>
          <w:p>
            <w:pPr>
              <w:pStyle w:val="TableContents"/>
              <w:rPr/>
            </w:pPr>
            <w:r>
              <w:rPr/>
              <w:t>"examine the legality, propriety or correctness" - extremely broad. Interpreted as de novo or re-hearing power.</w:t>
            </w:r>
          </w:p>
        </w:tc>
        <w:tc>
          <w:tcPr>
            <w:tcW w:w="4546" w:type="dxa"/>
            <w:tcBorders>
              <w:start w:val="single" w:sz="4" w:space="0" w:color="000000"/>
              <w:bottom w:val="single" w:sz="4" w:space="0" w:color="000000"/>
            </w:tcBorders>
            <w:vAlign w:val="center"/>
          </w:tcPr>
          <w:p>
            <w:pPr>
              <w:pStyle w:val="TableContents"/>
              <w:rPr/>
            </w:pPr>
            <w:r>
              <w:rPr/>
              <w:t>Amend to: "The First Appellate Authority shall have power to confirm, modify, or set aside order only on grounds of: (i) lack of jurisdiction; (ii) procedural irregularity; (iii) perversity; (iv) error of law. Shall not re-appreciate evidence or conduct de novo hearing unless material evidence not considered or inadmissible evidence considered."</w:t>
            </w:r>
          </w:p>
        </w:tc>
        <w:tc>
          <w:tcPr>
            <w:tcW w:w="4402" w:type="dxa"/>
            <w:tcBorders>
              <w:start w:val="single" w:sz="4" w:space="0" w:color="000000"/>
              <w:bottom w:val="single" w:sz="4" w:space="0" w:color="000000"/>
              <w:end w:val="single" w:sz="4" w:space="0" w:color="000000"/>
            </w:tcBorders>
            <w:vAlign w:val="center"/>
          </w:tcPr>
          <w:p>
            <w:pPr>
              <w:pStyle w:val="TableContents"/>
              <w:rPr/>
            </w:pPr>
            <w:r>
              <w:rPr/>
              <w:t>No Res Judicata or Finality: If Second Appellate Authority can "examine correctness" of entire case, First Appellate Authority decision is meaningless. Case starts from scratch at every level. Massive inefficiency. Litigation abuse.</w:t>
            </w:r>
          </w:p>
        </w:tc>
      </w:tr>
      <w:tr>
        <w:trPr>
          <w:cantSplit/>
        </w:trPr>
        <w:tc>
          <w:tcPr>
            <w:tcW w:w="481" w:type="dxa"/>
            <w:tcBorders>
              <w:start w:val="single" w:sz="4" w:space="0" w:color="000000"/>
              <w:bottom w:val="single" w:sz="4" w:space="0" w:color="000000"/>
            </w:tcBorders>
            <w:vAlign w:val="center"/>
          </w:tcPr>
          <w:p>
            <w:pPr>
              <w:pStyle w:val="TableContents"/>
              <w:rPr/>
            </w:pPr>
            <w:r>
              <w:rPr/>
              <w:t>146</w:t>
            </w:r>
          </w:p>
        </w:tc>
        <w:tc>
          <w:tcPr>
            <w:tcW w:w="985" w:type="dxa"/>
            <w:tcBorders>
              <w:start w:val="single" w:sz="4" w:space="0" w:color="000000"/>
              <w:bottom w:val="single" w:sz="4" w:space="0" w:color="000000"/>
            </w:tcBorders>
            <w:vAlign w:val="center"/>
          </w:tcPr>
          <w:p>
            <w:pPr>
              <w:pStyle w:val="TableContents"/>
              <w:rPr/>
            </w:pPr>
            <w:r>
              <w:rPr/>
              <w:t>47</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No distinction between final and interlocutory orders for appeals.</w:t>
            </w:r>
          </w:p>
        </w:tc>
        <w:tc>
          <w:tcPr>
            <w:tcW w:w="4546" w:type="dxa"/>
            <w:tcBorders>
              <w:start w:val="single" w:sz="4" w:space="0" w:color="000000"/>
              <w:bottom w:val="single" w:sz="4" w:space="0" w:color="000000"/>
            </w:tcBorders>
            <w:vAlign w:val="center"/>
          </w:tcPr>
          <w:p>
            <w:pPr>
              <w:pStyle w:val="TableContents"/>
              <w:rPr/>
            </w:pPr>
            <w:r>
              <w:rPr/>
              <w:t>Amend Section 45: "Any person aggrieved by a final order may prefer appeal. An appeal against interim/interlocutory order shall be maintainable only with leave of First Appellate Authority, who shall grant leave only if order causes irreparable injury or is manifest abuse of process."</w:t>
            </w:r>
          </w:p>
        </w:tc>
        <w:tc>
          <w:tcPr>
            <w:tcW w:w="4402" w:type="dxa"/>
            <w:tcBorders>
              <w:start w:val="single" w:sz="4" w:space="0" w:color="000000"/>
              <w:bottom w:val="single" w:sz="4" w:space="0" w:color="000000"/>
              <w:end w:val="single" w:sz="4" w:space="0" w:color="000000"/>
            </w:tcBorders>
            <w:vAlign w:val="center"/>
          </w:tcPr>
          <w:p>
            <w:pPr>
              <w:pStyle w:val="TableContents"/>
              <w:rPr/>
            </w:pPr>
            <w:r>
              <w:rPr/>
              <w:t>Prevents micro-appeals and procedural delay. Ensures appellate authorities only step in when substantive rights finally determined.</w:t>
            </w:r>
          </w:p>
        </w:tc>
      </w:tr>
      <w:tr>
        <w:trPr>
          <w:cantSplit/>
        </w:trPr>
        <w:tc>
          <w:tcPr>
            <w:tcW w:w="481" w:type="dxa"/>
            <w:tcBorders>
              <w:start w:val="single" w:sz="4" w:space="0" w:color="000000"/>
              <w:bottom w:val="single" w:sz="4" w:space="0" w:color="000000"/>
            </w:tcBorders>
            <w:vAlign w:val="center"/>
          </w:tcPr>
          <w:p>
            <w:pPr>
              <w:pStyle w:val="TableContents"/>
              <w:rPr/>
            </w:pPr>
            <w:r>
              <w:rPr/>
              <w:t>147</w:t>
            </w:r>
          </w:p>
        </w:tc>
        <w:tc>
          <w:tcPr>
            <w:tcW w:w="985" w:type="dxa"/>
            <w:tcBorders>
              <w:start w:val="single" w:sz="4" w:space="0" w:color="000000"/>
              <w:bottom w:val="single" w:sz="4" w:space="0" w:color="000000"/>
            </w:tcBorders>
            <w:vAlign w:val="center"/>
          </w:tcPr>
          <w:p>
            <w:pPr>
              <w:pStyle w:val="TableContents"/>
              <w:rPr/>
            </w:pPr>
            <w:r>
              <w:rPr/>
              <w:t>47</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Time to dispose - 90 days but no consequence for delay.</w:t>
            </w:r>
          </w:p>
        </w:tc>
        <w:tc>
          <w:tcPr>
            <w:tcW w:w="4546" w:type="dxa"/>
            <w:tcBorders>
              <w:start w:val="single" w:sz="4" w:space="0" w:color="000000"/>
              <w:bottom w:val="single" w:sz="4" w:space="0" w:color="000000"/>
            </w:tcBorders>
            <w:vAlign w:val="center"/>
          </w:tcPr>
          <w:p>
            <w:pPr>
              <w:pStyle w:val="TableContents"/>
              <w:rPr/>
            </w:pPr>
            <w:r>
              <w:rPr/>
              <w:t>Amend: "If appeal not disposed within 90 days, First Appellate Authority shall seek extension from Second Appellate Authority/Tribunal not exceeding 30 days. If no order passed within extended period, order of CA shall be deemed confirmed."</w:t>
            </w:r>
          </w:p>
        </w:tc>
        <w:tc>
          <w:tcPr>
            <w:tcW w:w="4402" w:type="dxa"/>
            <w:tcBorders>
              <w:start w:val="single" w:sz="4" w:space="0" w:color="000000"/>
              <w:bottom w:val="single" w:sz="4" w:space="0" w:color="000000"/>
              <w:end w:val="single" w:sz="4" w:space="0" w:color="000000"/>
            </w:tcBorders>
            <w:vAlign w:val="center"/>
          </w:tcPr>
          <w:p>
            <w:pPr>
              <w:pStyle w:val="TableContents"/>
              <w:rPr/>
            </w:pPr>
            <w:r>
              <w:rPr/>
              <w:t>"Deemed confirmation" is powerful weapon against bureaucratic delay. Forces appellate authority to act swiftly or risk letting lower court's order stand.</w:t>
            </w:r>
          </w:p>
        </w:tc>
      </w:tr>
      <w:tr>
        <w:trPr>
          <w:cantSplit/>
        </w:trPr>
        <w:tc>
          <w:tcPr>
            <w:tcW w:w="481" w:type="dxa"/>
            <w:tcBorders>
              <w:start w:val="single" w:sz="4" w:space="0" w:color="000000"/>
              <w:bottom w:val="single" w:sz="4" w:space="0" w:color="000000"/>
            </w:tcBorders>
            <w:vAlign w:val="center"/>
          </w:tcPr>
          <w:p>
            <w:pPr>
              <w:pStyle w:val="TableContents"/>
              <w:rPr/>
            </w:pPr>
            <w:r>
              <w:rPr/>
              <w:t>148</w:t>
            </w:r>
          </w:p>
        </w:tc>
        <w:tc>
          <w:tcPr>
            <w:tcW w:w="985" w:type="dxa"/>
            <w:tcBorders>
              <w:start w:val="single" w:sz="4" w:space="0" w:color="000000"/>
              <w:bottom w:val="single" w:sz="4" w:space="0" w:color="000000"/>
            </w:tcBorders>
            <w:vAlign w:val="center"/>
          </w:tcPr>
          <w:p>
            <w:pPr>
              <w:pStyle w:val="TableContents"/>
              <w:rPr/>
            </w:pPr>
            <w:r>
              <w:rPr/>
              <w:t>49, 50(5)</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Section 50(5) references "Appellate Authority specified in section 42(8)" - section 42(8) is actually about appeals to First Appellate Authority. Should reference section 45.</w:t>
            </w:r>
          </w:p>
        </w:tc>
        <w:tc>
          <w:tcPr>
            <w:tcW w:w="4546" w:type="dxa"/>
            <w:tcBorders>
              <w:start w:val="single" w:sz="4" w:space="0" w:color="000000"/>
              <w:bottom w:val="single" w:sz="4" w:space="0" w:color="000000"/>
            </w:tcBorders>
            <w:vAlign w:val="center"/>
          </w:tcPr>
          <w:p>
            <w:pPr>
              <w:pStyle w:val="TableContents"/>
              <w:rPr/>
            </w:pPr>
            <w:r>
              <w:rPr/>
              <w:t>Change to: "First Appellate Authority under section 45 of this Act"</w:t>
            </w:r>
          </w:p>
        </w:tc>
        <w:tc>
          <w:tcPr>
            <w:tcW w:w="4402" w:type="dxa"/>
            <w:tcBorders>
              <w:start w:val="single" w:sz="4" w:space="0" w:color="000000"/>
              <w:bottom w:val="single" w:sz="4" w:space="0" w:color="000000"/>
              <w:end w:val="single" w:sz="4" w:space="0" w:color="000000"/>
            </w:tcBorders>
            <w:vAlign w:val="center"/>
          </w:tcPr>
          <w:p>
            <w:pPr>
              <w:pStyle w:val="TableContents"/>
              <w:rPr/>
            </w:pPr>
            <w:r>
              <w:rPr/>
              <w:t>Incorrect cross-reference.</w:t>
            </w:r>
          </w:p>
        </w:tc>
      </w:tr>
      <w:tr>
        <w:trPr>
          <w:cantSplit/>
        </w:trPr>
        <w:tc>
          <w:tcPr>
            <w:tcW w:w="481" w:type="dxa"/>
            <w:tcBorders>
              <w:start w:val="single" w:sz="4" w:space="0" w:color="000000"/>
              <w:bottom w:val="single" w:sz="4" w:space="0" w:color="000000"/>
            </w:tcBorders>
            <w:vAlign w:val="center"/>
          </w:tcPr>
          <w:p>
            <w:pPr>
              <w:pStyle w:val="TableContents"/>
              <w:rPr/>
            </w:pPr>
            <w:r>
              <w:rPr/>
              <w:t>149</w:t>
            </w:r>
          </w:p>
        </w:tc>
        <w:tc>
          <w:tcPr>
            <w:tcW w:w="985" w:type="dxa"/>
            <w:tcBorders>
              <w:start w:val="single" w:sz="4" w:space="0" w:color="000000"/>
              <w:bottom w:val="single" w:sz="4" w:space="0" w:color="000000"/>
            </w:tcBorders>
            <w:vAlign w:val="center"/>
          </w:tcPr>
          <w:p>
            <w:pPr>
              <w:pStyle w:val="TableContents"/>
              <w:rPr/>
            </w:pPr>
            <w:r>
              <w:rPr/>
              <w:t>50</w:t>
            </w:r>
          </w:p>
        </w:tc>
        <w:tc>
          <w:tcPr>
            <w:tcW w:w="1597" w:type="dxa"/>
            <w:tcBorders>
              <w:start w:val="single" w:sz="4" w:space="0" w:color="000000"/>
              <w:bottom w:val="single" w:sz="4" w:space="0" w:color="000000"/>
            </w:tcBorders>
            <w:vAlign w:val="center"/>
          </w:tcPr>
          <w:p>
            <w:pPr>
              <w:pStyle w:val="TableContents"/>
              <w:rPr/>
            </w:pPr>
            <w:r>
              <w:rPr/>
              <w:t>Redevelopment</w:t>
            </w:r>
          </w:p>
        </w:tc>
        <w:tc>
          <w:tcPr>
            <w:tcW w:w="3921" w:type="dxa"/>
            <w:tcBorders>
              <w:start w:val="single" w:sz="4" w:space="0" w:color="000000"/>
              <w:bottom w:val="single" w:sz="4" w:space="0" w:color="000000"/>
            </w:tcBorders>
            <w:vAlign w:val="center"/>
          </w:tcPr>
          <w:p>
            <w:pPr>
              <w:pStyle w:val="TableContents"/>
              <w:rPr/>
            </w:pPr>
            <w:r>
              <w:rPr/>
              <w:t>75% consent for redevelopment - too low. Forcing 25% of owners out of homes is serious infringement.</w:t>
            </w:r>
          </w:p>
        </w:tc>
        <w:tc>
          <w:tcPr>
            <w:tcW w:w="4546" w:type="dxa"/>
            <w:tcBorders>
              <w:start w:val="single" w:sz="4" w:space="0" w:color="000000"/>
              <w:bottom w:val="single" w:sz="4" w:space="0" w:color="000000"/>
            </w:tcBorders>
            <w:vAlign w:val="center"/>
          </w:tcPr>
          <w:p>
            <w:pPr>
              <w:pStyle w:val="TableContents"/>
              <w:rPr/>
            </w:pPr>
            <w:r>
              <w:rPr/>
              <w:t>Increase threshold to 90%.</w:t>
            </w:r>
          </w:p>
        </w:tc>
        <w:tc>
          <w:tcPr>
            <w:tcW w:w="4402" w:type="dxa"/>
            <w:tcBorders>
              <w:start w:val="single" w:sz="4" w:space="0" w:color="000000"/>
              <w:bottom w:val="single" w:sz="4" w:space="0" w:color="000000"/>
              <w:end w:val="single" w:sz="4" w:space="0" w:color="000000"/>
            </w:tcBorders>
            <w:vAlign w:val="center"/>
          </w:tcPr>
          <w:p>
            <w:pPr>
              <w:pStyle w:val="TableContents"/>
              <w:rPr/>
            </w:pPr>
            <w:r>
              <w:rPr/>
              <w:t>75% is too low. Forcing 25% of owners out of their homes is serious infringement of property rights. Higher threshold (90%) more appropriate.</w:t>
            </w:r>
          </w:p>
        </w:tc>
      </w:tr>
      <w:tr>
        <w:trPr>
          <w:cantSplit/>
        </w:trPr>
        <w:tc>
          <w:tcPr>
            <w:tcW w:w="481" w:type="dxa"/>
            <w:tcBorders>
              <w:start w:val="single" w:sz="4" w:space="0" w:color="000000"/>
              <w:bottom w:val="single" w:sz="4" w:space="0" w:color="000000"/>
            </w:tcBorders>
            <w:vAlign w:val="center"/>
          </w:tcPr>
          <w:p>
            <w:pPr>
              <w:pStyle w:val="TableContents"/>
              <w:rPr/>
            </w:pPr>
            <w:r>
              <w:rPr/>
              <w:t>150</w:t>
            </w:r>
          </w:p>
        </w:tc>
        <w:tc>
          <w:tcPr>
            <w:tcW w:w="985" w:type="dxa"/>
            <w:tcBorders>
              <w:start w:val="single" w:sz="4" w:space="0" w:color="000000"/>
              <w:bottom w:val="single" w:sz="4" w:space="0" w:color="000000"/>
            </w:tcBorders>
            <w:vAlign w:val="center"/>
          </w:tcPr>
          <w:p>
            <w:pPr>
              <w:pStyle w:val="TableContents"/>
              <w:rPr/>
            </w:pPr>
            <w:r>
              <w:rPr/>
              <w:t>50</w:t>
            </w:r>
          </w:p>
        </w:tc>
        <w:tc>
          <w:tcPr>
            <w:tcW w:w="1597" w:type="dxa"/>
            <w:tcBorders>
              <w:start w:val="single" w:sz="4" w:space="0" w:color="000000"/>
              <w:bottom w:val="single" w:sz="4" w:space="0" w:color="000000"/>
            </w:tcBorders>
            <w:vAlign w:val="center"/>
          </w:tcPr>
          <w:p>
            <w:pPr>
              <w:pStyle w:val="TableContents"/>
              <w:rPr/>
            </w:pPr>
            <w:r>
              <w:rPr/>
              <w:t>Redevelopment</w:t>
            </w:r>
          </w:p>
        </w:tc>
        <w:tc>
          <w:tcPr>
            <w:tcW w:w="3921" w:type="dxa"/>
            <w:tcBorders>
              <w:start w:val="single" w:sz="4" w:space="0" w:color="000000"/>
              <w:bottom w:val="single" w:sz="4" w:space="0" w:color="000000"/>
            </w:tcBorders>
            <w:vAlign w:val="center"/>
          </w:tcPr>
          <w:p>
            <w:pPr>
              <w:pStyle w:val="TableContents"/>
              <w:rPr/>
            </w:pPr>
            <w:r>
              <w:rPr/>
              <w:t>"Market value" for redevelopment buyout is subjective. Association could hire low valuer; owner could hire high valuer.</w:t>
            </w:r>
          </w:p>
        </w:tc>
        <w:tc>
          <w:tcPr>
            <w:tcW w:w="4546" w:type="dxa"/>
            <w:tcBorders>
              <w:start w:val="single" w:sz="4" w:space="0" w:color="000000"/>
              <w:bottom w:val="single" w:sz="4" w:space="0" w:color="000000"/>
            </w:tcBorders>
            <w:vAlign w:val="center"/>
          </w:tcPr>
          <w:p>
            <w:pPr>
              <w:pStyle w:val="TableContents"/>
              <w:rPr/>
            </w:pPr>
            <w:r>
              <w:rPr/>
              <w:t>Establish Tribunal comprising retired District Judge, registered valuer, and technical expert to determine "market value."</w:t>
            </w:r>
          </w:p>
        </w:tc>
        <w:tc>
          <w:tcPr>
            <w:tcW w:w="4402" w:type="dxa"/>
            <w:tcBorders>
              <w:start w:val="single" w:sz="4" w:space="0" w:color="000000"/>
              <w:bottom w:val="single" w:sz="4" w:space="0" w:color="000000"/>
              <w:end w:val="single" w:sz="4" w:space="0" w:color="000000"/>
            </w:tcBorders>
            <w:vAlign w:val="center"/>
          </w:tcPr>
          <w:p>
            <w:pPr>
              <w:pStyle w:val="TableContents"/>
              <w:rPr/>
            </w:pPr>
            <w:r>
              <w:rPr/>
              <w:t>"Twice market value" sounds generous but if "market value" disputed, dissenting owner could be forced to accept unfair amount. No independent valuation mechanism.</w:t>
            </w:r>
          </w:p>
        </w:tc>
      </w:tr>
      <w:tr>
        <w:trPr>
          <w:cantSplit/>
        </w:trPr>
        <w:tc>
          <w:tcPr>
            <w:tcW w:w="481" w:type="dxa"/>
            <w:tcBorders>
              <w:start w:val="single" w:sz="4" w:space="0" w:color="000000"/>
              <w:bottom w:val="single" w:sz="4" w:space="0" w:color="000000"/>
            </w:tcBorders>
            <w:vAlign w:val="center"/>
          </w:tcPr>
          <w:p>
            <w:pPr>
              <w:pStyle w:val="TableContents"/>
              <w:rPr/>
            </w:pPr>
            <w:r>
              <w:rPr/>
              <w:t>151</w:t>
            </w:r>
          </w:p>
        </w:tc>
        <w:tc>
          <w:tcPr>
            <w:tcW w:w="985" w:type="dxa"/>
            <w:tcBorders>
              <w:start w:val="single" w:sz="4" w:space="0" w:color="000000"/>
              <w:bottom w:val="single" w:sz="4" w:space="0" w:color="000000"/>
            </w:tcBorders>
            <w:vAlign w:val="center"/>
          </w:tcPr>
          <w:p>
            <w:pPr>
              <w:pStyle w:val="TableContents"/>
              <w:rPr/>
            </w:pPr>
            <w:r>
              <w:rPr/>
              <w:t>50</w:t>
            </w:r>
          </w:p>
        </w:tc>
        <w:tc>
          <w:tcPr>
            <w:tcW w:w="1597" w:type="dxa"/>
            <w:tcBorders>
              <w:start w:val="single" w:sz="4" w:space="0" w:color="000000"/>
              <w:bottom w:val="single" w:sz="4" w:space="0" w:color="000000"/>
            </w:tcBorders>
            <w:vAlign w:val="center"/>
          </w:tcPr>
          <w:p>
            <w:pPr>
              <w:pStyle w:val="TableContents"/>
              <w:rPr/>
            </w:pPr>
            <w:r>
              <w:rPr/>
              <w:t>Redevelopment</w:t>
            </w:r>
          </w:p>
        </w:tc>
        <w:tc>
          <w:tcPr>
            <w:tcW w:w="3921" w:type="dxa"/>
            <w:tcBorders>
              <w:start w:val="single" w:sz="4" w:space="0" w:color="000000"/>
              <w:bottom w:val="single" w:sz="4" w:space="0" w:color="000000"/>
            </w:tcBorders>
            <w:vAlign w:val="center"/>
          </w:tcPr>
          <w:p>
            <w:pPr>
              <w:pStyle w:val="TableContents"/>
              <w:rPr/>
            </w:pPr>
            <w:r>
              <w:rPr/>
              <w:t>Bundle vote scheme creates perverse incentive - voting "No" rewards with 2x windfall.</w:t>
            </w:r>
          </w:p>
        </w:tc>
        <w:tc>
          <w:tcPr>
            <w:tcW w:w="4546" w:type="dxa"/>
            <w:tcBorders>
              <w:start w:val="single" w:sz="4" w:space="0" w:color="000000"/>
              <w:bottom w:val="single" w:sz="4" w:space="0" w:color="000000"/>
            </w:tcBorders>
            <w:vAlign w:val="center"/>
          </w:tcPr>
          <w:p>
            <w:pPr>
              <w:pStyle w:val="TableContents"/>
              <w:rPr/>
            </w:pPr>
            <w:r>
              <w:rPr/>
              <w:t>Replace with two-stage unbundled vote: Stage 1 - Collective decision (75% approve principle); Stage 2 - Individual choice (stay or opt out at fair market value, no 2x multiplier).</w:t>
            </w:r>
          </w:p>
        </w:tc>
        <w:tc>
          <w:tcPr>
            <w:tcW w:w="4402" w:type="dxa"/>
            <w:tcBorders>
              <w:start w:val="single" w:sz="4" w:space="0" w:color="000000"/>
              <w:bottom w:val="single" w:sz="4" w:space="0" w:color="000000"/>
              <w:end w:val="single" w:sz="4" w:space="0" w:color="000000"/>
            </w:tcBorders>
            <w:vAlign w:val="center"/>
          </w:tcPr>
          <w:p>
            <w:pPr>
              <w:pStyle w:val="TableContents"/>
              <w:rPr/>
            </w:pPr>
            <w:r>
              <w:rPr/>
              <w:t>In bundled scheme, Type S (Stayers) may vote "No" to get windfall. Nash equilibrium is failure to reach 75%. Nearly everyone votes "No." Outcome: building decays, everyone worse off. Unbundled scheme eliminates perverse premium on "No" votes.</w:t>
            </w:r>
          </w:p>
        </w:tc>
      </w:tr>
      <w:tr>
        <w:trPr>
          <w:cantSplit/>
        </w:trPr>
        <w:tc>
          <w:tcPr>
            <w:tcW w:w="481" w:type="dxa"/>
            <w:tcBorders>
              <w:start w:val="single" w:sz="4" w:space="0" w:color="000000"/>
              <w:bottom w:val="single" w:sz="4" w:space="0" w:color="000000"/>
            </w:tcBorders>
            <w:vAlign w:val="center"/>
          </w:tcPr>
          <w:p>
            <w:pPr>
              <w:pStyle w:val="TableContents"/>
              <w:rPr/>
            </w:pPr>
            <w:r>
              <w:rPr/>
              <w:t>152</w:t>
            </w:r>
          </w:p>
        </w:tc>
        <w:tc>
          <w:tcPr>
            <w:tcW w:w="985" w:type="dxa"/>
            <w:tcBorders>
              <w:start w:val="single" w:sz="4" w:space="0" w:color="000000"/>
              <w:bottom w:val="single" w:sz="4" w:space="0" w:color="000000"/>
            </w:tcBorders>
            <w:vAlign w:val="center"/>
          </w:tcPr>
          <w:p>
            <w:pPr>
              <w:pStyle w:val="TableContents"/>
              <w:rPr/>
            </w:pPr>
            <w:r>
              <w:rPr/>
              <w:t>50(3)</w:t>
            </w:r>
          </w:p>
        </w:tc>
        <w:tc>
          <w:tcPr>
            <w:tcW w:w="1597" w:type="dxa"/>
            <w:tcBorders>
              <w:start w:val="single" w:sz="4" w:space="0" w:color="000000"/>
              <w:bottom w:val="single" w:sz="4" w:space="0" w:color="000000"/>
            </w:tcBorders>
            <w:vAlign w:val="center"/>
          </w:tcPr>
          <w:p>
            <w:pPr>
              <w:pStyle w:val="TableContents"/>
              <w:rPr/>
            </w:pPr>
            <w:r>
              <w:rPr/>
              <w:t>Redevelopment</w:t>
            </w:r>
          </w:p>
        </w:tc>
        <w:tc>
          <w:tcPr>
            <w:tcW w:w="3921" w:type="dxa"/>
            <w:tcBorders>
              <w:start w:val="single" w:sz="4" w:space="0" w:color="000000"/>
              <w:bottom w:val="single" w:sz="4" w:space="0" w:color="000000"/>
            </w:tcBorders>
            <w:vAlign w:val="center"/>
          </w:tcPr>
          <w:p>
            <w:pPr>
              <w:pStyle w:val="TableContents"/>
              <w:rPr/>
            </w:pPr>
            <w:r>
              <w:rPr/>
              <w:t>Voting on redevelopment without full terms - owners asked to approve without knowing developer, plans, timeline, transit costs.</w:t>
            </w:r>
          </w:p>
        </w:tc>
        <w:tc>
          <w:tcPr>
            <w:tcW w:w="4546" w:type="dxa"/>
            <w:tcBorders>
              <w:start w:val="single" w:sz="4" w:space="0" w:color="000000"/>
              <w:bottom w:val="single" w:sz="4" w:space="0" w:color="000000"/>
            </w:tcBorders>
            <w:vAlign w:val="center"/>
          </w:tcPr>
          <w:p>
            <w:pPr>
              <w:pStyle w:val="TableContents"/>
              <w:rPr/>
            </w:pPr>
            <w:r>
              <w:rPr/>
              <w:t>Mandate full, legally binding disclosure of all material terms (developer identity, plans, timeline, transit rent) as schedule to voting resolution.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Information asymmetry makes even well-intentioned owner risk-averse. Uncertainty combines with windfall to make "No" dominant. Certainty is bedrock upon which cooperation is built.</w:t>
            </w:r>
          </w:p>
        </w:tc>
      </w:tr>
      <w:tr>
        <w:trPr>
          <w:cantSplit/>
        </w:trPr>
        <w:tc>
          <w:tcPr>
            <w:tcW w:w="481" w:type="dxa"/>
            <w:tcBorders>
              <w:start w:val="single" w:sz="4" w:space="0" w:color="000000"/>
              <w:bottom w:val="single" w:sz="4" w:space="0" w:color="000000"/>
            </w:tcBorders>
            <w:vAlign w:val="center"/>
          </w:tcPr>
          <w:p>
            <w:pPr>
              <w:pStyle w:val="TableContents"/>
              <w:rPr/>
            </w:pPr>
            <w:r>
              <w:rPr/>
              <w:t>153</w:t>
            </w:r>
          </w:p>
        </w:tc>
        <w:tc>
          <w:tcPr>
            <w:tcW w:w="985" w:type="dxa"/>
            <w:tcBorders>
              <w:start w:val="single" w:sz="4" w:space="0" w:color="000000"/>
              <w:bottom w:val="single" w:sz="4" w:space="0" w:color="000000"/>
            </w:tcBorders>
            <w:vAlign w:val="center"/>
          </w:tcPr>
          <w:p>
            <w:pPr>
              <w:pStyle w:val="TableContents"/>
              <w:rPr/>
            </w:pPr>
            <w:r>
              <w:rPr/>
              <w:t>50(5)</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"may" vs "shall" - "Competent Authority...may refer case to Tribunal." Discretionary.</w:t>
            </w:r>
          </w:p>
        </w:tc>
        <w:tc>
          <w:tcPr>
            <w:tcW w:w="4546" w:type="dxa"/>
            <w:tcBorders>
              <w:start w:val="single" w:sz="4" w:space="0" w:color="000000"/>
              <w:bottom w:val="single" w:sz="4" w:space="0" w:color="000000"/>
            </w:tcBorders>
            <w:vAlign w:val="center"/>
          </w:tcPr>
          <w:p>
            <w:pPr>
              <w:pStyle w:val="TableContents"/>
              <w:rPr/>
            </w:pPr>
            <w:r>
              <w:rPr/>
              <w:t>Change to "shall" where Tribunal is constituted.</w:t>
            </w:r>
          </w:p>
        </w:tc>
        <w:tc>
          <w:tcPr>
            <w:tcW w:w="4402" w:type="dxa"/>
            <w:tcBorders>
              <w:start w:val="single" w:sz="4" w:space="0" w:color="000000"/>
              <w:bottom w:val="single" w:sz="4" w:space="0" w:color="000000"/>
              <w:end w:val="single" w:sz="4" w:space="0" w:color="000000"/>
            </w:tcBorders>
            <w:vAlign w:val="center"/>
          </w:tcPr>
          <w:p>
            <w:pPr>
              <w:pStyle w:val="TableContents"/>
              <w:rPr/>
            </w:pPr>
            <w:r>
              <w:rPr/>
              <w:t>"May" means CA may ignore Tribunal even when appointed.</w:t>
            </w:r>
          </w:p>
        </w:tc>
      </w:tr>
      <w:tr>
        <w:trPr>
          <w:cantSplit/>
        </w:trPr>
        <w:tc>
          <w:tcPr>
            <w:tcW w:w="481" w:type="dxa"/>
            <w:tcBorders>
              <w:start w:val="single" w:sz="4" w:space="0" w:color="000000"/>
              <w:bottom w:val="single" w:sz="4" w:space="0" w:color="000000"/>
            </w:tcBorders>
            <w:vAlign w:val="center"/>
          </w:tcPr>
          <w:p>
            <w:pPr>
              <w:pStyle w:val="TableContents"/>
              <w:rPr/>
            </w:pPr>
            <w:r>
              <w:rPr/>
              <w:t>154</w:t>
            </w:r>
          </w:p>
        </w:tc>
        <w:tc>
          <w:tcPr>
            <w:tcW w:w="985" w:type="dxa"/>
            <w:tcBorders>
              <w:start w:val="single" w:sz="4" w:space="0" w:color="000000"/>
              <w:bottom w:val="single" w:sz="4" w:space="0" w:color="000000"/>
            </w:tcBorders>
            <w:vAlign w:val="center"/>
          </w:tcPr>
          <w:p>
            <w:pPr>
              <w:pStyle w:val="TableContents"/>
              <w:rPr/>
            </w:pPr>
            <w:r>
              <w:rPr/>
              <w:t>50(5)</w:t>
            </w:r>
          </w:p>
        </w:tc>
        <w:tc>
          <w:tcPr>
            <w:tcW w:w="1597" w:type="dxa"/>
            <w:tcBorders>
              <w:start w:val="single" w:sz="4" w:space="0" w:color="000000"/>
              <w:bottom w:val="single" w:sz="4" w:space="0" w:color="000000"/>
            </w:tcBorders>
            <w:vAlign w:val="center"/>
          </w:tcPr>
          <w:p>
            <w:pPr>
              <w:pStyle w:val="TableContents"/>
              <w:rPr/>
            </w:pPr>
            <w:r>
              <w:rPr/>
              <w:t>Legal</w:t>
            </w:r>
          </w:p>
        </w:tc>
        <w:tc>
          <w:tcPr>
            <w:tcW w:w="3921" w:type="dxa"/>
            <w:tcBorders>
              <w:start w:val="single" w:sz="4" w:space="0" w:color="000000"/>
              <w:bottom w:val="single" w:sz="4" w:space="0" w:color="000000"/>
            </w:tcBorders>
            <w:vAlign w:val="center"/>
          </w:tcPr>
          <w:p>
            <w:pPr>
              <w:pStyle w:val="TableContents"/>
              <w:rPr/>
            </w:pPr>
            <w:r>
              <w:rPr/>
              <w:t>"Appellate Authority specified in section 42(8)" - incorrect cross-reference.</w:t>
            </w:r>
          </w:p>
        </w:tc>
        <w:tc>
          <w:tcPr>
            <w:tcW w:w="4546" w:type="dxa"/>
            <w:tcBorders>
              <w:start w:val="single" w:sz="4" w:space="0" w:color="000000"/>
              <w:bottom w:val="single" w:sz="4" w:space="0" w:color="000000"/>
            </w:tcBorders>
            <w:vAlign w:val="center"/>
          </w:tcPr>
          <w:p>
            <w:pPr>
              <w:pStyle w:val="TableContents"/>
              <w:rPr/>
            </w:pPr>
            <w:r>
              <w:rPr/>
              <w:t>"First Appellate Authority under section 45 of this Act"</w:t>
            </w:r>
          </w:p>
        </w:tc>
        <w:tc>
          <w:tcPr>
            <w:tcW w:w="4402" w:type="dxa"/>
            <w:tcBorders>
              <w:start w:val="single" w:sz="4" w:space="0" w:color="000000"/>
              <w:bottom w:val="single" w:sz="4" w:space="0" w:color="000000"/>
              <w:end w:val="single" w:sz="4" w:space="0" w:color="000000"/>
            </w:tcBorders>
            <w:vAlign w:val="center"/>
          </w:tcPr>
          <w:p>
            <w:pPr>
              <w:pStyle w:val="TableContents"/>
              <w:rPr/>
            </w:pPr>
            <w:r>
              <w:rPr/>
              <w:t>Section 42(8) actually about appeals to First Appellate Authority.</w:t>
            </w:r>
          </w:p>
        </w:tc>
      </w:tr>
      <w:tr>
        <w:trPr>
          <w:cantSplit/>
        </w:trPr>
        <w:tc>
          <w:tcPr>
            <w:tcW w:w="481" w:type="dxa"/>
            <w:tcBorders>
              <w:start w:val="single" w:sz="4" w:space="0" w:color="000000"/>
              <w:bottom w:val="single" w:sz="4" w:space="0" w:color="000000"/>
            </w:tcBorders>
            <w:vAlign w:val="center"/>
          </w:tcPr>
          <w:p>
            <w:pPr>
              <w:pStyle w:val="TableContents"/>
              <w:rPr/>
            </w:pPr>
            <w:r>
              <w:rPr/>
              <w:t>155</w:t>
            </w:r>
          </w:p>
        </w:tc>
        <w:tc>
          <w:tcPr>
            <w:tcW w:w="985" w:type="dxa"/>
            <w:tcBorders>
              <w:start w:val="single" w:sz="4" w:space="0" w:color="000000"/>
              <w:bottom w:val="single" w:sz="4" w:space="0" w:color="000000"/>
            </w:tcBorders>
            <w:vAlign w:val="center"/>
          </w:tcPr>
          <w:p>
            <w:pPr>
              <w:pStyle w:val="TableContents"/>
              <w:rPr/>
            </w:pPr>
            <w:r>
              <w:rPr/>
              <w:t>50(7)</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No system lock to warn new buyers of redevelopment.</w:t>
            </w:r>
          </w:p>
        </w:tc>
        <w:tc>
          <w:tcPr>
            <w:tcW w:w="4546" w:type="dxa"/>
            <w:tcBorders>
              <w:start w:val="single" w:sz="4" w:space="0" w:color="000000"/>
              <w:bottom w:val="single" w:sz="4" w:space="0" w:color="000000"/>
            </w:tcBorders>
            <w:vAlign w:val="center"/>
          </w:tcPr>
          <w:p>
            <w:pPr>
              <w:pStyle w:val="TableContents"/>
              <w:rPr/>
            </w:pPr>
            <w:r>
              <w:rPr/>
              <w:t>Require CA to maintain public register flagging properties under redevelopment consideration.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Due Diligence Failure: New buyer could purchase apartment unaware redevelopment imminent. Public registry flag alerts buyers to risk.</w:t>
            </w:r>
          </w:p>
        </w:tc>
      </w:tr>
      <w:tr>
        <w:trPr>
          <w:cantSplit/>
        </w:trPr>
        <w:tc>
          <w:tcPr>
            <w:tcW w:w="481" w:type="dxa"/>
            <w:tcBorders>
              <w:start w:val="single" w:sz="4" w:space="0" w:color="000000"/>
              <w:bottom w:val="single" w:sz="4" w:space="0" w:color="000000"/>
            </w:tcBorders>
            <w:vAlign w:val="center"/>
          </w:tcPr>
          <w:p>
            <w:pPr>
              <w:pStyle w:val="TableContents"/>
              <w:rPr/>
            </w:pPr>
            <w:r>
              <w:rPr/>
              <w:t>156</w:t>
            </w:r>
          </w:p>
        </w:tc>
        <w:tc>
          <w:tcPr>
            <w:tcW w:w="985" w:type="dxa"/>
            <w:tcBorders>
              <w:start w:val="single" w:sz="4" w:space="0" w:color="000000"/>
              <w:bottom w:val="single" w:sz="4" w:space="0" w:color="000000"/>
            </w:tcBorders>
            <w:vAlign w:val="center"/>
          </w:tcPr>
          <w:p>
            <w:pPr>
              <w:pStyle w:val="TableContents"/>
              <w:rPr/>
            </w:pPr>
            <w:r>
              <w:rPr/>
              <w:t>50(8)</w:t>
            </w:r>
          </w:p>
        </w:tc>
        <w:tc>
          <w:tcPr>
            <w:tcW w:w="1597" w:type="dxa"/>
            <w:tcBorders>
              <w:start w:val="single" w:sz="4" w:space="0" w:color="000000"/>
              <w:bottom w:val="single" w:sz="4" w:space="0" w:color="000000"/>
            </w:tcBorders>
            <w:vAlign w:val="center"/>
          </w:tcPr>
          <w:p>
            <w:pPr>
              <w:pStyle w:val="TableContents"/>
              <w:rPr/>
            </w:pPr>
            <w:r>
              <w:rPr/>
              <w:t>Redevelopment/RERA</w:t>
            </w:r>
          </w:p>
        </w:tc>
        <w:tc>
          <w:tcPr>
            <w:tcW w:w="3921" w:type="dxa"/>
            <w:tcBorders>
              <w:start w:val="single" w:sz="4" w:space="0" w:color="000000"/>
              <w:bottom w:val="single" w:sz="4" w:space="0" w:color="000000"/>
            </w:tcBorders>
            <w:vAlign w:val="center"/>
          </w:tcPr>
          <w:p>
            <w:pPr>
              <w:pStyle w:val="TableContents"/>
              <w:rPr/>
            </w:pPr>
            <w:r>
              <w:rPr/>
              <w:t>KAOMA attempt to regulate redevelopment without referring to RERA.</w:t>
            </w:r>
          </w:p>
        </w:tc>
        <w:tc>
          <w:tcPr>
            <w:tcW w:w="4546" w:type="dxa"/>
            <w:tcBorders>
              <w:start w:val="single" w:sz="4" w:space="0" w:color="000000"/>
              <w:bottom w:val="single" w:sz="4" w:space="0" w:color="000000"/>
            </w:tcBorders>
            <w:vAlign w:val="center"/>
          </w:tcPr>
          <w:p>
            <w:pPr>
              <w:pStyle w:val="TableContents"/>
              <w:rPr/>
            </w:pPr>
            <w:r>
              <w:rPr/>
              <w:t>Apply RERA to the redevelopment project from the start (when proposal is passed).</w:t>
            </w:r>
          </w:p>
        </w:tc>
        <w:tc>
          <w:tcPr>
            <w:tcW w:w="4402" w:type="dxa"/>
            <w:tcBorders>
              <w:start w:val="single" w:sz="4" w:space="0" w:color="000000"/>
              <w:bottom w:val="single" w:sz="4" w:space="0" w:color="000000"/>
              <w:end w:val="single" w:sz="4" w:space="0" w:color="000000"/>
            </w:tcBorders>
            <w:vAlign w:val="center"/>
          </w:tcPr>
          <w:p>
            <w:pPr>
              <w:pStyle w:val="TableContents"/>
              <w:rPr/>
            </w:pPr>
            <w:r>
              <w:rPr/>
              <w:t>RERA cannot be bypassed. Redevelopment is a construction project. Buyers must be protected under RERA (defect liability, completion timeline).</w:t>
            </w:r>
          </w:p>
        </w:tc>
      </w:tr>
      <w:tr>
        <w:trPr>
          <w:cantSplit/>
        </w:trPr>
        <w:tc>
          <w:tcPr>
            <w:tcW w:w="481" w:type="dxa"/>
            <w:tcBorders>
              <w:start w:val="single" w:sz="4" w:space="0" w:color="000000"/>
              <w:bottom w:val="single" w:sz="4" w:space="0" w:color="000000"/>
            </w:tcBorders>
            <w:vAlign w:val="center"/>
          </w:tcPr>
          <w:p>
            <w:pPr>
              <w:pStyle w:val="TableContents"/>
              <w:rPr/>
            </w:pPr>
            <w:r>
              <w:rPr/>
              <w:t>157</w:t>
            </w:r>
          </w:p>
        </w:tc>
        <w:tc>
          <w:tcPr>
            <w:tcW w:w="985" w:type="dxa"/>
            <w:tcBorders>
              <w:start w:val="single" w:sz="4" w:space="0" w:color="000000"/>
              <w:bottom w:val="single" w:sz="4" w:space="0" w:color="000000"/>
            </w:tcBorders>
            <w:vAlign w:val="center"/>
          </w:tcPr>
          <w:p>
            <w:pPr>
              <w:pStyle w:val="TableContents"/>
              <w:rPr/>
            </w:pPr>
            <w:r>
              <w:rPr/>
              <w:t>50(9)</w:t>
            </w:r>
          </w:p>
        </w:tc>
        <w:tc>
          <w:tcPr>
            <w:tcW w:w="1597" w:type="dxa"/>
            <w:tcBorders>
              <w:start w:val="single" w:sz="4" w:space="0" w:color="000000"/>
              <w:bottom w:val="single" w:sz="4" w:space="0" w:color="000000"/>
            </w:tcBorders>
            <w:vAlign w:val="center"/>
          </w:tcPr>
          <w:p>
            <w:pPr>
              <w:pStyle w:val="TableContents"/>
              <w:rPr/>
            </w:pPr>
            <w:r>
              <w:rPr/>
              <w:t>Redevelopment/RERA</w:t>
            </w:r>
          </w:p>
        </w:tc>
        <w:tc>
          <w:tcPr>
            <w:tcW w:w="3921" w:type="dxa"/>
            <w:tcBorders>
              <w:start w:val="single" w:sz="4" w:space="0" w:color="000000"/>
              <w:bottom w:val="single" w:sz="4" w:space="0" w:color="000000"/>
            </w:tcBorders>
            <w:vAlign w:val="center"/>
          </w:tcPr>
          <w:p>
            <w:pPr>
              <w:pStyle w:val="TableContents"/>
              <w:rPr/>
            </w:pPr>
            <w:r>
              <w:rPr/>
              <w:t>Redevelopment failure - RERA protection missing.</w:t>
            </w:r>
          </w:p>
        </w:tc>
        <w:tc>
          <w:tcPr>
            <w:tcW w:w="4546" w:type="dxa"/>
            <w:tcBorders>
              <w:start w:val="single" w:sz="4" w:space="0" w:color="000000"/>
              <w:bottom w:val="single" w:sz="4" w:space="0" w:color="000000"/>
            </w:tcBorders>
            <w:vAlign w:val="center"/>
          </w:tcPr>
          <w:p>
            <w:pPr>
              <w:pStyle w:val="TableContents"/>
              <w:rPr/>
            </w:pPr>
            <w:r>
              <w:rPr/>
              <w:t>Insert: "This section is without prejudice to the rights of allottees under RERA."</w:t>
            </w:r>
          </w:p>
        </w:tc>
        <w:tc>
          <w:tcPr>
            <w:tcW w:w="4402" w:type="dxa"/>
            <w:tcBorders>
              <w:start w:val="single" w:sz="4" w:space="0" w:color="000000"/>
              <w:bottom w:val="single" w:sz="4" w:space="0" w:color="000000"/>
              <w:end w:val="single" w:sz="4" w:space="0" w:color="000000"/>
            </w:tcBorders>
            <w:vAlign w:val="center"/>
          </w:tcPr>
          <w:p>
            <w:pPr>
              <w:pStyle w:val="TableContents"/>
              <w:rPr/>
            </w:pPr>
            <w:r>
              <w:rPr/>
              <w:t>RERA cannot be bypassed. Redevelopment is construction project. Buyers must be protected under RERA.</w:t>
            </w:r>
          </w:p>
        </w:tc>
      </w:tr>
      <w:tr>
        <w:trPr>
          <w:cantSplit/>
        </w:trPr>
        <w:tc>
          <w:tcPr>
            <w:tcW w:w="481" w:type="dxa"/>
            <w:tcBorders>
              <w:start w:val="single" w:sz="4" w:space="0" w:color="000000"/>
              <w:bottom w:val="single" w:sz="4" w:space="0" w:color="000000"/>
            </w:tcBorders>
            <w:vAlign w:val="center"/>
          </w:tcPr>
          <w:p>
            <w:pPr>
              <w:pStyle w:val="TableContents"/>
              <w:rPr/>
            </w:pPr>
            <w:r>
              <w:rPr/>
              <w:t>158</w:t>
            </w:r>
          </w:p>
        </w:tc>
        <w:tc>
          <w:tcPr>
            <w:tcW w:w="985" w:type="dxa"/>
            <w:tcBorders>
              <w:start w:val="single" w:sz="4" w:space="0" w:color="000000"/>
              <w:bottom w:val="single" w:sz="4" w:space="0" w:color="000000"/>
            </w:tcBorders>
            <w:vAlign w:val="center"/>
          </w:tcPr>
          <w:p>
            <w:pPr>
              <w:pStyle w:val="TableContents"/>
              <w:rPr/>
            </w:pPr>
            <w:r>
              <w:rPr/>
              <w:t>50(10)</w:t>
            </w:r>
          </w:p>
        </w:tc>
        <w:tc>
          <w:tcPr>
            <w:tcW w:w="1597" w:type="dxa"/>
            <w:tcBorders>
              <w:start w:val="single" w:sz="4" w:space="0" w:color="000000"/>
              <w:bottom w:val="single" w:sz="4" w:space="0" w:color="000000"/>
            </w:tcBorders>
            <w:vAlign w:val="center"/>
          </w:tcPr>
          <w:p>
            <w:pPr>
              <w:pStyle w:val="TableContents"/>
              <w:rPr/>
            </w:pPr>
            <w:r>
              <w:rPr/>
              <w:t>Redevelopment/UDI</w:t>
            </w:r>
          </w:p>
        </w:tc>
        <w:tc>
          <w:tcPr>
            <w:tcW w:w="3921" w:type="dxa"/>
            <w:tcBorders>
              <w:start w:val="single" w:sz="4" w:space="0" w:color="000000"/>
              <w:bottom w:val="single" w:sz="4" w:space="0" w:color="000000"/>
            </w:tcBorders>
            <w:vAlign w:val="center"/>
          </w:tcPr>
          <w:p>
            <w:pPr>
              <w:pStyle w:val="TableContents"/>
              <w:rPr/>
            </w:pPr>
            <w:r>
              <w:rPr/>
              <w:t>UDI of remaining owners not recalculated after buyout of dissenters.</w:t>
            </w:r>
          </w:p>
        </w:tc>
        <w:tc>
          <w:tcPr>
            <w:tcW w:w="4546" w:type="dxa"/>
            <w:tcBorders>
              <w:start w:val="single" w:sz="4" w:space="0" w:color="000000"/>
              <w:bottom w:val="single" w:sz="4" w:space="0" w:color="000000"/>
            </w:tcBorders>
            <w:vAlign w:val="center"/>
          </w:tcPr>
          <w:p>
            <w:pPr>
              <w:pStyle w:val="TableContents"/>
              <w:rPr/>
            </w:pPr>
            <w:r>
              <w:rPr/>
              <w:t>Add: "Upon acquisition of the dissenting owners' shares, the UDI of the remaining owners shall be re-calculated and re-recorded."</w:t>
            </w:r>
          </w:p>
        </w:tc>
        <w:tc>
          <w:tcPr>
            <w:tcW w:w="4402" w:type="dxa"/>
            <w:tcBorders>
              <w:start w:val="single" w:sz="4" w:space="0" w:color="000000"/>
              <w:bottom w:val="single" w:sz="4" w:space="0" w:color="000000"/>
              <w:end w:val="single" w:sz="4" w:space="0" w:color="000000"/>
            </w:tcBorders>
            <w:vAlign w:val="center"/>
          </w:tcPr>
          <w:p>
            <w:pPr>
              <w:pStyle w:val="TableContents"/>
              <w:rPr/>
            </w:pPr>
            <w:r>
              <w:rPr/>
              <w:t>Equity Vacuum: If 25% are bought out, remaining 75% must see UDI proportionately increase to 100%. Act is silent, allowing association to "hold" surrendered UDI perpetually.</w:t>
            </w:r>
          </w:p>
        </w:tc>
      </w:tr>
      <w:tr>
        <w:trPr>
          <w:cantSplit/>
        </w:trPr>
        <w:tc>
          <w:tcPr>
            <w:tcW w:w="481" w:type="dxa"/>
            <w:tcBorders>
              <w:start w:val="single" w:sz="4" w:space="0" w:color="000000"/>
              <w:bottom w:val="single" w:sz="4" w:space="0" w:color="000000"/>
            </w:tcBorders>
            <w:vAlign w:val="center"/>
          </w:tcPr>
          <w:p>
            <w:pPr>
              <w:pStyle w:val="TableContents"/>
              <w:rPr/>
            </w:pPr>
            <w:r>
              <w:rPr/>
              <w:t>159</w:t>
            </w:r>
          </w:p>
        </w:tc>
        <w:tc>
          <w:tcPr>
            <w:tcW w:w="985" w:type="dxa"/>
            <w:tcBorders>
              <w:start w:val="single" w:sz="4" w:space="0" w:color="000000"/>
              <w:bottom w:val="single" w:sz="4" w:space="0" w:color="000000"/>
            </w:tcBorders>
            <w:vAlign w:val="center"/>
          </w:tcPr>
          <w:p>
            <w:pPr>
              <w:pStyle w:val="TableContents"/>
              <w:rPr/>
            </w:pPr>
            <w:r>
              <w:rPr/>
              <w:t>50(10)</w:t>
            </w:r>
          </w:p>
        </w:tc>
        <w:tc>
          <w:tcPr>
            <w:tcW w:w="1597" w:type="dxa"/>
            <w:tcBorders>
              <w:start w:val="single" w:sz="4" w:space="0" w:color="000000"/>
              <w:bottom w:val="single" w:sz="4" w:space="0" w:color="000000"/>
            </w:tcBorders>
            <w:vAlign w:val="center"/>
          </w:tcPr>
          <w:p>
            <w:pPr>
              <w:pStyle w:val="TableContents"/>
              <w:rPr/>
            </w:pPr>
            <w:r>
              <w:rPr/>
              <w:t>Redevelopment/Membership</w:t>
            </w:r>
          </w:p>
        </w:tc>
        <w:tc>
          <w:tcPr>
            <w:tcW w:w="3921" w:type="dxa"/>
            <w:tcBorders>
              <w:start w:val="single" w:sz="4" w:space="0" w:color="000000"/>
              <w:bottom w:val="single" w:sz="4" w:space="0" w:color="000000"/>
            </w:tcBorders>
            <w:vAlign w:val="center"/>
          </w:tcPr>
          <w:p>
            <w:pPr>
              <w:pStyle w:val="TableContents"/>
              <w:rPr/>
            </w:pPr>
            <w:r>
              <w:rPr/>
              <w:t>No clarity about membership status of dissenters who opted out.</w:t>
            </w:r>
          </w:p>
        </w:tc>
        <w:tc>
          <w:tcPr>
            <w:tcW w:w="4546" w:type="dxa"/>
            <w:tcBorders>
              <w:start w:val="single" w:sz="4" w:space="0" w:color="000000"/>
              <w:bottom w:val="single" w:sz="4" w:space="0" w:color="000000"/>
            </w:tcBorders>
            <w:vAlign w:val="center"/>
          </w:tcPr>
          <w:p>
            <w:pPr>
              <w:pStyle w:val="TableContents"/>
              <w:rPr/>
            </w:pPr>
            <w:r>
              <w:rPr/>
              <w:t>Add: "Such owners shall cease to be members of the association upon full payment."</w:t>
            </w:r>
          </w:p>
        </w:tc>
        <w:tc>
          <w:tcPr>
            <w:tcW w:w="4402" w:type="dxa"/>
            <w:tcBorders>
              <w:start w:val="single" w:sz="4" w:space="0" w:color="000000"/>
              <w:bottom w:val="single" w:sz="4" w:space="0" w:color="000000"/>
              <w:end w:val="single" w:sz="4" w:space="0" w:color="000000"/>
            </w:tcBorders>
            <w:vAlign w:val="center"/>
          </w:tcPr>
          <w:p>
            <w:pPr>
              <w:pStyle w:val="TableContents"/>
              <w:rPr/>
            </w:pPr>
            <w:r>
              <w:rPr/>
              <w:t>Logical Inconsistency: If they no longer own anything, they cannot remain members. Must be stated explicitly.</w:t>
            </w:r>
          </w:p>
        </w:tc>
      </w:tr>
      <w:tr>
        <w:trPr>
          <w:cantSplit/>
        </w:trPr>
        <w:tc>
          <w:tcPr>
            <w:tcW w:w="481" w:type="dxa"/>
            <w:tcBorders>
              <w:start w:val="single" w:sz="4" w:space="0" w:color="000000"/>
              <w:bottom w:val="single" w:sz="4" w:space="0" w:color="000000"/>
            </w:tcBorders>
            <w:vAlign w:val="center"/>
          </w:tcPr>
          <w:p>
            <w:pPr>
              <w:pStyle w:val="TableContents"/>
              <w:rPr/>
            </w:pPr>
            <w:r>
              <w:rPr/>
              <w:t>160</w:t>
            </w:r>
          </w:p>
        </w:tc>
        <w:tc>
          <w:tcPr>
            <w:tcW w:w="985" w:type="dxa"/>
            <w:tcBorders>
              <w:start w:val="single" w:sz="4" w:space="0" w:color="000000"/>
              <w:bottom w:val="single" w:sz="4" w:space="0" w:color="000000"/>
            </w:tcBorders>
            <w:vAlign w:val="center"/>
          </w:tcPr>
          <w:p>
            <w:pPr>
              <w:pStyle w:val="TableContents"/>
              <w:rPr/>
            </w:pPr>
            <w:r>
              <w:rPr/>
              <w:t>50(11)</w:t>
            </w:r>
          </w:p>
        </w:tc>
        <w:tc>
          <w:tcPr>
            <w:tcW w:w="1597" w:type="dxa"/>
            <w:tcBorders>
              <w:start w:val="single" w:sz="4" w:space="0" w:color="000000"/>
              <w:bottom w:val="single" w:sz="4" w:space="0" w:color="000000"/>
            </w:tcBorders>
            <w:vAlign w:val="center"/>
          </w:tcPr>
          <w:p>
            <w:pPr>
              <w:pStyle w:val="TableContents"/>
              <w:rPr/>
            </w:pPr>
            <w:r>
              <w:rPr/>
              <w:t>Redevelopment/Membership</w:t>
            </w:r>
          </w:p>
        </w:tc>
        <w:tc>
          <w:tcPr>
            <w:tcW w:w="3921" w:type="dxa"/>
            <w:tcBorders>
              <w:start w:val="single" w:sz="4" w:space="0" w:color="000000"/>
              <w:bottom w:val="single" w:sz="4" w:space="0" w:color="000000"/>
            </w:tcBorders>
            <w:vAlign w:val="center"/>
          </w:tcPr>
          <w:p>
            <w:pPr>
              <w:pStyle w:val="TableContents"/>
              <w:rPr/>
            </w:pPr>
            <w:r>
              <w:rPr/>
              <w:t>People who surrendered apartment+UDI and got paid must not be members in this association.</w:t>
            </w:r>
          </w:p>
        </w:tc>
        <w:tc>
          <w:tcPr>
            <w:tcW w:w="4546" w:type="dxa"/>
            <w:tcBorders>
              <w:start w:val="single" w:sz="4" w:space="0" w:color="000000"/>
              <w:bottom w:val="single" w:sz="4" w:space="0" w:color="000000"/>
            </w:tcBorders>
            <w:vAlign w:val="center"/>
          </w:tcPr>
          <w:p>
            <w:pPr>
              <w:pStyle w:val="TableContents"/>
              <w:rPr/>
            </w:pPr>
            <w:r>
              <w:rPr/>
              <w:t>Add: "Such owners shall cease to be members of the association upon full payment."</w:t>
            </w:r>
          </w:p>
        </w:tc>
        <w:tc>
          <w:tcPr>
            <w:tcW w:w="4402" w:type="dxa"/>
            <w:tcBorders>
              <w:start w:val="single" w:sz="4" w:space="0" w:color="000000"/>
              <w:bottom w:val="single" w:sz="4" w:space="0" w:color="000000"/>
              <w:end w:val="single" w:sz="4" w:space="0" w:color="000000"/>
            </w:tcBorders>
            <w:vAlign w:val="center"/>
          </w:tcPr>
          <w:p>
            <w:pPr>
              <w:pStyle w:val="TableContents"/>
              <w:rPr/>
            </w:pPr>
            <w:r>
              <w:rPr/>
              <w:t>Logical Inconsistency: If they no longer own anything, they cannot remain members. Must be stated explicitly.</w:t>
            </w:r>
          </w:p>
        </w:tc>
      </w:tr>
      <w:tr>
        <w:trPr>
          <w:cantSplit/>
        </w:trPr>
        <w:tc>
          <w:tcPr>
            <w:tcW w:w="481" w:type="dxa"/>
            <w:tcBorders>
              <w:start w:val="single" w:sz="4" w:space="0" w:color="000000"/>
              <w:bottom w:val="single" w:sz="4" w:space="0" w:color="000000"/>
            </w:tcBorders>
            <w:vAlign w:val="center"/>
          </w:tcPr>
          <w:p>
            <w:pPr>
              <w:pStyle w:val="TableContents"/>
              <w:rPr/>
            </w:pPr>
            <w:r>
              <w:rPr/>
              <w:t>161</w:t>
            </w:r>
          </w:p>
        </w:tc>
        <w:tc>
          <w:tcPr>
            <w:tcW w:w="985" w:type="dxa"/>
            <w:tcBorders>
              <w:start w:val="single" w:sz="4" w:space="0" w:color="000000"/>
              <w:bottom w:val="single" w:sz="4" w:space="0" w:color="000000"/>
            </w:tcBorders>
            <w:vAlign w:val="center"/>
          </w:tcPr>
          <w:p>
            <w:pPr>
              <w:pStyle w:val="TableContents"/>
              <w:rPr/>
            </w:pPr>
            <w:r>
              <w:rPr/>
              <w:t>51(1)</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Why is this section linked to section 48? KSC&amp;AC has nothing to do with association's decision to opt out of KAOMA.</w:t>
            </w:r>
          </w:p>
        </w:tc>
        <w:tc>
          <w:tcPr>
            <w:tcW w:w="4546" w:type="dxa"/>
            <w:tcBorders>
              <w:start w:val="single" w:sz="4" w:space="0" w:color="000000"/>
              <w:bottom w:val="single" w:sz="4" w:space="0" w:color="000000"/>
            </w:tcBorders>
            <w:vAlign w:val="center"/>
          </w:tcPr>
          <w:p>
            <w:pPr>
              <w:pStyle w:val="TableContents"/>
              <w:rPr/>
            </w:pPr>
            <w:r>
              <w:rPr/>
              <w:t>Remove "subject to Section 48".</w:t>
            </w:r>
          </w:p>
        </w:tc>
        <w:tc>
          <w:tcPr>
            <w:tcW w:w="4402" w:type="dxa"/>
            <w:tcBorders>
              <w:start w:val="single" w:sz="4" w:space="0" w:color="000000"/>
              <w:bottom w:val="single" w:sz="4" w:space="0" w:color="000000"/>
              <w:end w:val="single" w:sz="4" w:space="0" w:color="000000"/>
            </w:tcBorders>
            <w:vAlign w:val="center"/>
          </w:tcPr>
          <w:p>
            <w:pPr>
              <w:pStyle w:val="TableContents"/>
              <w:rPr/>
            </w:pPr>
            <w:r>
              <w:rPr/>
              <w:t>KSC&amp;AC is supposed to work on systemic improvement. Has nothing to do with an association's decision to opt out of KAOMA.</w:t>
            </w:r>
          </w:p>
        </w:tc>
      </w:tr>
      <w:tr>
        <w:trPr>
          <w:cantSplit/>
        </w:trPr>
        <w:tc>
          <w:tcPr>
            <w:tcW w:w="481" w:type="dxa"/>
            <w:tcBorders>
              <w:start w:val="single" w:sz="4" w:space="0" w:color="000000"/>
              <w:bottom w:val="single" w:sz="4" w:space="0" w:color="000000"/>
            </w:tcBorders>
            <w:vAlign w:val="center"/>
          </w:tcPr>
          <w:p>
            <w:pPr>
              <w:pStyle w:val="TableContents"/>
              <w:rPr/>
            </w:pPr>
            <w:r>
              <w:rPr/>
              <w:t>162</w:t>
            </w:r>
          </w:p>
        </w:tc>
        <w:tc>
          <w:tcPr>
            <w:tcW w:w="985" w:type="dxa"/>
            <w:tcBorders>
              <w:start w:val="single" w:sz="4" w:space="0" w:color="000000"/>
              <w:bottom w:val="single" w:sz="4" w:space="0" w:color="000000"/>
            </w:tcBorders>
            <w:vAlign w:val="center"/>
          </w:tcPr>
          <w:p>
            <w:pPr>
              <w:pStyle w:val="TableContents"/>
              <w:rPr/>
            </w:pPr>
            <w:r>
              <w:rPr/>
              <w:t>51(1)(a)</w:t>
            </w:r>
          </w:p>
        </w:tc>
        <w:tc>
          <w:tcPr>
            <w:tcW w:w="1597" w:type="dxa"/>
            <w:tcBorders>
              <w:start w:val="single" w:sz="4" w:space="0" w:color="000000"/>
              <w:bottom w:val="single" w:sz="4" w:space="0" w:color="000000"/>
            </w:tcBorders>
            <w:vAlign w:val="center"/>
          </w:tcPr>
          <w:p>
            <w:pPr>
              <w:pStyle w:val="TableContents"/>
              <w:rPr/>
            </w:pPr>
            <w:r>
              <w:rPr/>
              <w:t>Redevelopment</w:t>
            </w:r>
          </w:p>
        </w:tc>
        <w:tc>
          <w:tcPr>
            <w:tcW w:w="3921" w:type="dxa"/>
            <w:tcBorders>
              <w:start w:val="single" w:sz="4" w:space="0" w:color="000000"/>
              <w:bottom w:val="single" w:sz="4" w:space="0" w:color="000000"/>
            </w:tcBorders>
            <w:vAlign w:val="center"/>
          </w:tcPr>
          <w:p>
            <w:pPr>
              <w:pStyle w:val="TableContents"/>
              <w:rPr/>
            </w:pPr>
            <w:r>
              <w:rPr/>
              <w:t>Redevelopment approval as per section 48 - KSC&amp;AC cannot approve/reject redevelopment projects.</w:t>
            </w:r>
          </w:p>
        </w:tc>
        <w:tc>
          <w:tcPr>
            <w:tcW w:w="4546" w:type="dxa"/>
            <w:tcBorders>
              <w:start w:val="single" w:sz="4" w:space="0" w:color="000000"/>
              <w:bottom w:val="single" w:sz="4" w:space="0" w:color="000000"/>
            </w:tcBorders>
            <w:vAlign w:val="center"/>
          </w:tcPr>
          <w:p>
            <w:pPr>
              <w:pStyle w:val="TableContents"/>
              <w:rPr/>
            </w:pPr>
            <w:r>
              <w:rPr/>
              <w:t>Revise. Clarify whether KSC&amp;AC is empowered to validate redevelopment plans, and from what angle (structural engineering? urban planning?).</w:t>
            </w:r>
          </w:p>
        </w:tc>
        <w:tc>
          <w:tcPr>
            <w:tcW w:w="4402" w:type="dxa"/>
            <w:tcBorders>
              <w:start w:val="single" w:sz="4" w:space="0" w:color="000000"/>
              <w:bottom w:val="single" w:sz="4" w:space="0" w:color="000000"/>
              <w:end w:val="single" w:sz="4" w:space="0" w:color="000000"/>
            </w:tcBorders>
            <w:vAlign w:val="center"/>
          </w:tcPr>
          <w:p>
            <w:pPr>
              <w:pStyle w:val="TableContents"/>
              <w:rPr/>
            </w:pPr>
            <w:r>
              <w:rPr/>
              <w:t>KSC&amp;AC is supposed to work on systemic improvement. Cannot approve/reject redevelopment projects.</w:t>
            </w:r>
          </w:p>
        </w:tc>
      </w:tr>
      <w:tr>
        <w:trPr>
          <w:cantSplit/>
        </w:trPr>
        <w:tc>
          <w:tcPr>
            <w:tcW w:w="481" w:type="dxa"/>
            <w:tcBorders>
              <w:start w:val="single" w:sz="4" w:space="0" w:color="000000"/>
              <w:bottom w:val="single" w:sz="4" w:space="0" w:color="000000"/>
            </w:tcBorders>
            <w:vAlign w:val="center"/>
          </w:tcPr>
          <w:p>
            <w:pPr>
              <w:pStyle w:val="TableContents"/>
              <w:rPr/>
            </w:pPr>
            <w:r>
              <w:rPr/>
              <w:t>163</w:t>
            </w:r>
          </w:p>
        </w:tc>
        <w:tc>
          <w:tcPr>
            <w:tcW w:w="985" w:type="dxa"/>
            <w:tcBorders>
              <w:start w:val="single" w:sz="4" w:space="0" w:color="000000"/>
              <w:bottom w:val="single" w:sz="4" w:space="0" w:color="000000"/>
            </w:tcBorders>
            <w:vAlign w:val="center"/>
          </w:tcPr>
          <w:p>
            <w:pPr>
              <w:pStyle w:val="TableContents"/>
              <w:rPr/>
            </w:pPr>
            <w:r>
              <w:rPr/>
              <w:t>52</w:t>
            </w:r>
          </w:p>
        </w:tc>
        <w:tc>
          <w:tcPr>
            <w:tcW w:w="1597" w:type="dxa"/>
            <w:tcBorders>
              <w:start w:val="single" w:sz="4" w:space="0" w:color="000000"/>
              <w:bottom w:val="single" w:sz="4" w:space="0" w:color="000000"/>
            </w:tcBorders>
            <w:vAlign w:val="center"/>
          </w:tcPr>
          <w:p>
            <w:pPr>
              <w:pStyle w:val="TableContents"/>
              <w:rPr/>
            </w:pPr>
            <w:r>
              <w:rPr/>
              <w:t>Redevelopment/RERA</w:t>
            </w:r>
          </w:p>
        </w:tc>
        <w:tc>
          <w:tcPr>
            <w:tcW w:w="3921" w:type="dxa"/>
            <w:tcBorders>
              <w:start w:val="single" w:sz="4" w:space="0" w:color="000000"/>
              <w:bottom w:val="single" w:sz="4" w:space="0" w:color="000000"/>
            </w:tcBorders>
            <w:vAlign w:val="center"/>
          </w:tcPr>
          <w:p>
            <w:pPr>
              <w:pStyle w:val="TableContents"/>
              <w:rPr/>
            </w:pPr>
            <w:r>
              <w:rPr/>
              <w:t>Redevelopment project is not registered with RERA.</w:t>
            </w:r>
          </w:p>
        </w:tc>
        <w:tc>
          <w:tcPr>
            <w:tcW w:w="4546" w:type="dxa"/>
            <w:tcBorders>
              <w:start w:val="single" w:sz="4" w:space="0" w:color="000000"/>
              <w:bottom w:val="single" w:sz="4" w:space="0" w:color="000000"/>
            </w:tcBorders>
            <w:vAlign w:val="center"/>
          </w:tcPr>
          <w:p>
            <w:pPr>
              <w:pStyle w:val="TableContents"/>
              <w:rPr/>
            </w:pPr>
            <w:r>
              <w:rPr/>
              <w:t>A redevelopment project also must be registered with RERA and follow the process.</w:t>
            </w:r>
          </w:p>
        </w:tc>
        <w:tc>
          <w:tcPr>
            <w:tcW w:w="4402" w:type="dxa"/>
            <w:tcBorders>
              <w:start w:val="single" w:sz="4" w:space="0" w:color="000000"/>
              <w:bottom w:val="single" w:sz="4" w:space="0" w:color="000000"/>
              <w:end w:val="single" w:sz="4" w:space="0" w:color="000000"/>
            </w:tcBorders>
            <w:vAlign w:val="center"/>
          </w:tcPr>
          <w:p>
            <w:pPr>
              <w:pStyle w:val="TableContents"/>
              <w:rPr/>
            </w:pPr>
            <w:r>
              <w:rPr/>
              <w:t>A redevelopment project is just like any other project, with massive demolition. All "fresh" construction projects also have to demolish whatever structures at the site.</w:t>
            </w:r>
          </w:p>
        </w:tc>
      </w:tr>
      <w:tr>
        <w:trPr>
          <w:cantSplit/>
        </w:trPr>
        <w:tc>
          <w:tcPr>
            <w:tcW w:w="481" w:type="dxa"/>
            <w:tcBorders>
              <w:start w:val="single" w:sz="4" w:space="0" w:color="000000"/>
              <w:bottom w:val="single" w:sz="4" w:space="0" w:color="000000"/>
            </w:tcBorders>
            <w:vAlign w:val="center"/>
          </w:tcPr>
          <w:p>
            <w:pPr>
              <w:pStyle w:val="TableContents"/>
              <w:rPr/>
            </w:pPr>
            <w:r>
              <w:rPr/>
              <w:t>164</w:t>
            </w:r>
          </w:p>
        </w:tc>
        <w:tc>
          <w:tcPr>
            <w:tcW w:w="985" w:type="dxa"/>
            <w:tcBorders>
              <w:start w:val="single" w:sz="4" w:space="0" w:color="000000"/>
              <w:bottom w:val="single" w:sz="4" w:space="0" w:color="000000"/>
            </w:tcBorders>
            <w:vAlign w:val="center"/>
          </w:tcPr>
          <w:p>
            <w:pPr>
              <w:pStyle w:val="TableContents"/>
              <w:rPr/>
            </w:pPr>
            <w:r>
              <w:rPr/>
              <w:t>53</w:t>
            </w:r>
          </w:p>
        </w:tc>
        <w:tc>
          <w:tcPr>
            <w:tcW w:w="1597" w:type="dxa"/>
            <w:tcBorders>
              <w:start w:val="single" w:sz="4" w:space="0" w:color="000000"/>
              <w:bottom w:val="single" w:sz="4" w:space="0" w:color="000000"/>
            </w:tcBorders>
            <w:vAlign w:val="center"/>
          </w:tcPr>
          <w:p>
            <w:pPr>
              <w:pStyle w:val="TableContents"/>
              <w:rPr/>
            </w:pPr>
            <w:r>
              <w:rPr/>
              <w:t>Redevelopment</w:t>
            </w:r>
          </w:p>
        </w:tc>
        <w:tc>
          <w:tcPr>
            <w:tcW w:w="3921" w:type="dxa"/>
            <w:tcBorders>
              <w:start w:val="single" w:sz="4" w:space="0" w:color="000000"/>
              <w:bottom w:val="single" w:sz="4" w:space="0" w:color="000000"/>
            </w:tcBorders>
            <w:vAlign w:val="center"/>
          </w:tcPr>
          <w:p>
            <w:pPr>
              <w:pStyle w:val="TableContents"/>
              <w:rPr/>
            </w:pPr>
            <w:r>
              <w:rPr/>
              <w:t>Upon completion of redevelopment, property may be resubmitted to Act. But redevelopment is construction project with same owners. KAOMA applicable from beginning.</w:t>
            </w:r>
          </w:p>
        </w:tc>
        <w:tc>
          <w:tcPr>
            <w:tcW w:w="4546" w:type="dxa"/>
            <w:tcBorders>
              <w:start w:val="single" w:sz="4" w:space="0" w:color="000000"/>
              <w:bottom w:val="single" w:sz="4" w:space="0" w:color="000000"/>
            </w:tcBorders>
            <w:vAlign w:val="center"/>
          </w:tcPr>
          <w:p>
            <w:pPr>
              <w:pStyle w:val="TableContents"/>
              <w:rPr/>
            </w:pPr>
            <w:r>
              <w:rPr/>
              <w:t>The redevelopment project is essentially a construction project with same owners (except those who parted after collecting compensation). KAOMA applicable right from beginning. No resolution needed!</w:t>
            </w:r>
          </w:p>
        </w:tc>
        <w:tc>
          <w:tcPr>
            <w:tcW w:w="4402" w:type="dxa"/>
            <w:tcBorders>
              <w:start w:val="single" w:sz="4" w:space="0" w:color="000000"/>
              <w:bottom w:val="single" w:sz="4" w:space="0" w:color="000000"/>
              <w:end w:val="single" w:sz="4" w:space="0" w:color="000000"/>
            </w:tcBorders>
            <w:vAlign w:val="center"/>
          </w:tcPr>
          <w:p>
            <w:pPr>
              <w:pStyle w:val="TableContents"/>
              <w:rPr/>
            </w:pPr>
            <w:r>
              <w:rPr/>
              <w:t>Redevelopment proposal needed consent of 75% original owners, which means right from beginning it meets the "&gt;50% booking" condition. Why is association not formed, or rather, continued?</w:t>
            </w:r>
          </w:p>
        </w:tc>
      </w:tr>
      <w:tr>
        <w:trPr>
          <w:cantSplit/>
        </w:trPr>
        <w:tc>
          <w:tcPr>
            <w:tcW w:w="481" w:type="dxa"/>
            <w:tcBorders>
              <w:start w:val="single" w:sz="4" w:space="0" w:color="000000"/>
              <w:bottom w:val="single" w:sz="4" w:space="0" w:color="000000"/>
            </w:tcBorders>
            <w:vAlign w:val="center"/>
          </w:tcPr>
          <w:p>
            <w:pPr>
              <w:pStyle w:val="TableContents"/>
              <w:rPr/>
            </w:pPr>
            <w:r>
              <w:rPr/>
              <w:t>165</w:t>
            </w:r>
          </w:p>
        </w:tc>
        <w:tc>
          <w:tcPr>
            <w:tcW w:w="985" w:type="dxa"/>
            <w:tcBorders>
              <w:start w:val="single" w:sz="4" w:space="0" w:color="000000"/>
              <w:bottom w:val="single" w:sz="4" w:space="0" w:color="000000"/>
            </w:tcBorders>
            <w:vAlign w:val="center"/>
          </w:tcPr>
          <w:p>
            <w:pPr>
              <w:pStyle w:val="TableContents"/>
              <w:rPr/>
            </w:pPr>
            <w:r>
              <w:rPr/>
              <w:t>54(1)</w:t>
            </w:r>
          </w:p>
        </w:tc>
        <w:tc>
          <w:tcPr>
            <w:tcW w:w="1597" w:type="dxa"/>
            <w:tcBorders>
              <w:start w:val="single" w:sz="4" w:space="0" w:color="000000"/>
              <w:bottom w:val="single" w:sz="4" w:space="0" w:color="000000"/>
            </w:tcBorders>
            <w:vAlign w:val="center"/>
          </w:tcPr>
          <w:p>
            <w:pPr>
              <w:pStyle w:val="TableContents"/>
              <w:rPr/>
            </w:pPr>
            <w:r>
              <w:rPr/>
              <w:t>Enforcement</w:t>
            </w:r>
          </w:p>
        </w:tc>
        <w:tc>
          <w:tcPr>
            <w:tcW w:w="3921" w:type="dxa"/>
            <w:tcBorders>
              <w:start w:val="single" w:sz="4" w:space="0" w:color="000000"/>
              <w:bottom w:val="single" w:sz="4" w:space="0" w:color="000000"/>
            </w:tcBorders>
            <w:vAlign w:val="center"/>
          </w:tcPr>
          <w:p>
            <w:pPr>
              <w:pStyle w:val="TableContents"/>
              <w:rPr/>
            </w:pPr>
            <w:r>
              <w:rPr/>
              <w:t>"The Competent Authority may, after giving opportunity, impose a penalty" - should be "shall" for violations.</w:t>
            </w:r>
          </w:p>
        </w:tc>
        <w:tc>
          <w:tcPr>
            <w:tcW w:w="4546" w:type="dxa"/>
            <w:tcBorders>
              <w:start w:val="single" w:sz="4" w:space="0" w:color="000000"/>
              <w:bottom w:val="single" w:sz="4" w:space="0" w:color="000000"/>
            </w:tcBorders>
            <w:vAlign w:val="center"/>
          </w:tcPr>
          <w:p>
            <w:pPr>
              <w:pStyle w:val="TableContents"/>
              <w:rPr/>
            </w:pPr>
            <w:r>
              <w:rPr/>
              <w:t>Change to: "The Competent Authority shall, after giving opportunity, impose a penalty"</w:t>
            </w:r>
          </w:p>
        </w:tc>
        <w:tc>
          <w:tcPr>
            <w:tcW w:w="4402" w:type="dxa"/>
            <w:tcBorders>
              <w:start w:val="single" w:sz="4" w:space="0" w:color="000000"/>
              <w:bottom w:val="single" w:sz="4" w:space="0" w:color="000000"/>
              <w:end w:val="single" w:sz="4" w:space="0" w:color="000000"/>
            </w:tcBorders>
            <w:vAlign w:val="center"/>
          </w:tcPr>
          <w:p>
            <w:pPr>
              <w:pStyle w:val="TableContents"/>
              <w:rPr/>
            </w:pPr>
            <w:r>
              <w:rPr/>
              <w:t>If Act prescribes penalties, they must be imposed when violations established; "may" renders enforcement optional.</w:t>
            </w:r>
          </w:p>
        </w:tc>
      </w:tr>
      <w:tr>
        <w:trPr>
          <w:cantSplit/>
        </w:trPr>
        <w:tc>
          <w:tcPr>
            <w:tcW w:w="481" w:type="dxa"/>
            <w:tcBorders>
              <w:start w:val="single" w:sz="4" w:space="0" w:color="000000"/>
              <w:bottom w:val="single" w:sz="4" w:space="0" w:color="000000"/>
            </w:tcBorders>
            <w:vAlign w:val="center"/>
          </w:tcPr>
          <w:p>
            <w:pPr>
              <w:pStyle w:val="TableContents"/>
              <w:rPr/>
            </w:pPr>
            <w:r>
              <w:rPr/>
              <w:t>166</w:t>
            </w:r>
          </w:p>
        </w:tc>
        <w:tc>
          <w:tcPr>
            <w:tcW w:w="985" w:type="dxa"/>
            <w:tcBorders>
              <w:start w:val="single" w:sz="4" w:space="0" w:color="000000"/>
              <w:bottom w:val="single" w:sz="4" w:space="0" w:color="000000"/>
            </w:tcBorders>
            <w:vAlign w:val="center"/>
          </w:tcPr>
          <w:p>
            <w:pPr>
              <w:pStyle w:val="TableContents"/>
              <w:rPr/>
            </w:pPr>
            <w:r>
              <w:rPr/>
              <w:t>54(1)</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"may" - discretionary, not mandatory.</w:t>
            </w:r>
          </w:p>
        </w:tc>
        <w:tc>
          <w:tcPr>
            <w:tcW w:w="4546" w:type="dxa"/>
            <w:tcBorders>
              <w:start w:val="single" w:sz="4" w:space="0" w:color="000000"/>
              <w:bottom w:val="single" w:sz="4" w:space="0" w:color="000000"/>
            </w:tcBorders>
            <w:vAlign w:val="center"/>
          </w:tcPr>
          <w:p>
            <w:pPr>
              <w:pStyle w:val="TableContents"/>
              <w:rPr/>
            </w:pPr>
            <w:r>
              <w:rPr/>
              <w:t>Change to "shall" for violations.</w:t>
            </w:r>
          </w:p>
        </w:tc>
        <w:tc>
          <w:tcPr>
            <w:tcW w:w="4402" w:type="dxa"/>
            <w:tcBorders>
              <w:start w:val="single" w:sz="4" w:space="0" w:color="000000"/>
              <w:bottom w:val="single" w:sz="4" w:space="0" w:color="000000"/>
              <w:end w:val="single" w:sz="4" w:space="0" w:color="000000"/>
            </w:tcBorders>
            <w:vAlign w:val="center"/>
          </w:tcPr>
          <w:p>
            <w:pPr>
              <w:pStyle w:val="TableContents"/>
              <w:rPr/>
            </w:pPr>
            <w:r>
              <w:rPr/>
              <w:t>If Act prescribes penalties, they must be imposed.</w:t>
            </w:r>
          </w:p>
        </w:tc>
      </w:tr>
      <w:tr>
        <w:trPr>
          <w:cantSplit/>
        </w:trPr>
        <w:tc>
          <w:tcPr>
            <w:tcW w:w="481" w:type="dxa"/>
            <w:tcBorders>
              <w:start w:val="single" w:sz="4" w:space="0" w:color="000000"/>
              <w:bottom w:val="single" w:sz="4" w:space="0" w:color="000000"/>
            </w:tcBorders>
            <w:vAlign w:val="center"/>
          </w:tcPr>
          <w:p>
            <w:pPr>
              <w:pStyle w:val="TableContents"/>
              <w:rPr/>
            </w:pPr>
            <w:r>
              <w:rPr/>
              <w:t>167</w:t>
            </w:r>
          </w:p>
        </w:tc>
        <w:tc>
          <w:tcPr>
            <w:tcW w:w="985" w:type="dxa"/>
            <w:tcBorders>
              <w:start w:val="single" w:sz="4" w:space="0" w:color="000000"/>
              <w:bottom w:val="single" w:sz="4" w:space="0" w:color="000000"/>
            </w:tcBorders>
            <w:vAlign w:val="center"/>
          </w:tcPr>
          <w:p>
            <w:pPr>
              <w:pStyle w:val="TableContents"/>
              <w:rPr/>
            </w:pPr>
            <w:r>
              <w:rPr/>
              <w:t>54(2)</w:t>
            </w:r>
          </w:p>
        </w:tc>
        <w:tc>
          <w:tcPr>
            <w:tcW w:w="1597" w:type="dxa"/>
            <w:tcBorders>
              <w:start w:val="single" w:sz="4" w:space="0" w:color="000000"/>
              <w:bottom w:val="single" w:sz="4" w:space="0" w:color="000000"/>
            </w:tcBorders>
            <w:vAlign w:val="center"/>
          </w:tcPr>
          <w:p>
            <w:pPr>
              <w:pStyle w:val="TableContents"/>
              <w:rPr/>
            </w:pPr>
            <w:r>
              <w:rPr/>
              <w:t>Enforcement</w:t>
            </w:r>
          </w:p>
        </w:tc>
        <w:tc>
          <w:tcPr>
            <w:tcW w:w="3921" w:type="dxa"/>
            <w:tcBorders>
              <w:start w:val="single" w:sz="4" w:space="0" w:color="000000"/>
              <w:bottom w:val="single" w:sz="4" w:space="0" w:color="000000"/>
            </w:tcBorders>
            <w:vAlign w:val="center"/>
          </w:tcPr>
          <w:p>
            <w:pPr>
              <w:pStyle w:val="TableContents"/>
              <w:rPr/>
            </w:pPr>
            <w:r>
              <w:rPr/>
              <w:t>Penalty cap for associations/owners is tokenistic (₹20,000 + ₹1,000/day). Structural violations can cause life-threatening damage.</w:t>
            </w:r>
          </w:p>
        </w:tc>
        <w:tc>
          <w:tcPr>
            <w:tcW w:w="4546" w:type="dxa"/>
            <w:tcBorders>
              <w:start w:val="single" w:sz="4" w:space="0" w:color="000000"/>
              <w:bottom w:val="single" w:sz="4" w:space="0" w:color="000000"/>
            </w:tcBorders>
            <w:vAlign w:val="center"/>
          </w:tcPr>
          <w:p>
            <w:pPr>
              <w:pStyle w:val="TableContents"/>
              <w:rPr/>
            </w:pPr>
            <w:r>
              <w:rPr/>
              <w:t>Substitute penalty quantum: "a penalty which may extend to five lakh rupees, and in the case of a continuing contravention, a further penalty which may extend to five thousand rupees for every day during which such contravention continues." Alternatively, link penalty to 5% of apartment's registered value.</w:t>
            </w:r>
          </w:p>
        </w:tc>
        <w:tc>
          <w:tcPr>
            <w:tcW w:w="4402" w:type="dxa"/>
            <w:tcBorders>
              <w:start w:val="single" w:sz="4" w:space="0" w:color="000000"/>
              <w:bottom w:val="single" w:sz="4" w:space="0" w:color="000000"/>
              <w:end w:val="single" w:sz="4" w:space="0" w:color="000000"/>
            </w:tcBorders>
            <w:vAlign w:val="center"/>
          </w:tcPr>
          <w:p>
            <w:pPr>
              <w:pStyle w:val="TableContents"/>
              <w:rPr/>
            </w:pPr>
            <w:r>
              <w:rPr/>
              <w:t>Lack of Deterrence: Wealthy owners treat ₹20,000 as cost of doing business. CA lacks proportional enforcement power for safety violations, rendering structural safety provisions (Sec. 19, 32) toothless.</w:t>
            </w:r>
          </w:p>
        </w:tc>
      </w:tr>
      <w:tr>
        <w:trPr>
          <w:cantSplit/>
        </w:trPr>
        <w:tc>
          <w:tcPr>
            <w:tcW w:w="481" w:type="dxa"/>
            <w:tcBorders>
              <w:start w:val="single" w:sz="4" w:space="0" w:color="000000"/>
              <w:bottom w:val="single" w:sz="4" w:space="0" w:color="000000"/>
            </w:tcBorders>
            <w:vAlign w:val="center"/>
          </w:tcPr>
          <w:p>
            <w:pPr>
              <w:pStyle w:val="TableContents"/>
              <w:rPr/>
            </w:pPr>
            <w:r>
              <w:rPr/>
              <w:t>168</w:t>
            </w:r>
          </w:p>
        </w:tc>
        <w:tc>
          <w:tcPr>
            <w:tcW w:w="985" w:type="dxa"/>
            <w:tcBorders>
              <w:start w:val="single" w:sz="4" w:space="0" w:color="000000"/>
              <w:bottom w:val="single" w:sz="4" w:space="0" w:color="000000"/>
            </w:tcBorders>
            <w:vAlign w:val="center"/>
          </w:tcPr>
          <w:p>
            <w:pPr>
              <w:pStyle w:val="TableContents"/>
              <w:rPr/>
            </w:pPr>
            <w:r>
              <w:rPr/>
              <w:t>54(2)</w:t>
            </w:r>
          </w:p>
        </w:tc>
        <w:tc>
          <w:tcPr>
            <w:tcW w:w="1597" w:type="dxa"/>
            <w:tcBorders>
              <w:start w:val="single" w:sz="4" w:space="0" w:color="000000"/>
              <w:bottom w:val="single" w:sz="4" w:space="0" w:color="000000"/>
            </w:tcBorders>
            <w:vAlign w:val="center"/>
          </w:tcPr>
          <w:p>
            <w:pPr>
              <w:pStyle w:val="TableContents"/>
              <w:rPr/>
            </w:pPr>
            <w:r>
              <w:rPr/>
              <w:t>Enforcement</w:t>
            </w:r>
          </w:p>
        </w:tc>
        <w:tc>
          <w:tcPr>
            <w:tcW w:w="3921" w:type="dxa"/>
            <w:tcBorders>
              <w:start w:val="single" w:sz="4" w:space="0" w:color="000000"/>
              <w:bottom w:val="single" w:sz="4" w:space="0" w:color="000000"/>
            </w:tcBorders>
            <w:vAlign w:val="center"/>
          </w:tcPr>
          <w:p>
            <w:pPr>
              <w:pStyle w:val="TableContents"/>
              <w:rPr/>
            </w:pPr>
            <w:r>
              <w:rPr/>
              <w:t>"may...issue a notice" - should be "shall" on receipt of complaint.</w:t>
            </w:r>
          </w:p>
        </w:tc>
        <w:tc>
          <w:tcPr>
            <w:tcW w:w="4546" w:type="dxa"/>
            <w:tcBorders>
              <w:start w:val="single" w:sz="4" w:space="0" w:color="000000"/>
              <w:bottom w:val="single" w:sz="4" w:space="0" w:color="000000"/>
            </w:tcBorders>
            <w:vAlign w:val="center"/>
          </w:tcPr>
          <w:p>
            <w:pPr>
              <w:pStyle w:val="TableContents"/>
              <w:rPr/>
            </w:pPr>
            <w:r>
              <w:rPr/>
              <w:t>Change to: "The Competent Authority shall, on receipt of a complaint...or suo motu, issue a notice"</w:t>
            </w:r>
          </w:p>
        </w:tc>
        <w:tc>
          <w:tcPr>
            <w:tcW w:w="4402" w:type="dxa"/>
            <w:tcBorders>
              <w:start w:val="single" w:sz="4" w:space="0" w:color="000000"/>
              <w:bottom w:val="single" w:sz="4" w:space="0" w:color="000000"/>
              <w:end w:val="single" w:sz="4" w:space="0" w:color="000000"/>
            </w:tcBorders>
            <w:vAlign w:val="center"/>
          </w:tcPr>
          <w:p>
            <w:pPr>
              <w:pStyle w:val="TableContents"/>
              <w:rPr/>
            </w:pPr>
            <w:r>
              <w:rPr/>
              <w:t>Creates a duty to act on complaints.</w:t>
            </w:r>
          </w:p>
        </w:tc>
      </w:tr>
      <w:tr>
        <w:trPr>
          <w:cantSplit/>
        </w:trPr>
        <w:tc>
          <w:tcPr>
            <w:tcW w:w="481" w:type="dxa"/>
            <w:tcBorders>
              <w:start w:val="single" w:sz="4" w:space="0" w:color="000000"/>
              <w:bottom w:val="single" w:sz="4" w:space="0" w:color="000000"/>
            </w:tcBorders>
            <w:vAlign w:val="center"/>
          </w:tcPr>
          <w:p>
            <w:pPr>
              <w:pStyle w:val="TableContents"/>
              <w:rPr/>
            </w:pPr>
            <w:r>
              <w:rPr/>
              <w:t>169</w:t>
            </w:r>
          </w:p>
        </w:tc>
        <w:tc>
          <w:tcPr>
            <w:tcW w:w="985" w:type="dxa"/>
            <w:tcBorders>
              <w:start w:val="single" w:sz="4" w:space="0" w:color="000000"/>
              <w:bottom w:val="single" w:sz="4" w:space="0" w:color="000000"/>
            </w:tcBorders>
            <w:vAlign w:val="center"/>
          </w:tcPr>
          <w:p>
            <w:pPr>
              <w:pStyle w:val="TableContents"/>
              <w:rPr/>
            </w:pPr>
            <w:r>
              <w:rPr/>
              <w:t>55</w:t>
            </w:r>
          </w:p>
        </w:tc>
        <w:tc>
          <w:tcPr>
            <w:tcW w:w="1597" w:type="dxa"/>
            <w:tcBorders>
              <w:start w:val="single" w:sz="4" w:space="0" w:color="000000"/>
              <w:bottom w:val="single" w:sz="4" w:space="0" w:color="000000"/>
            </w:tcBorders>
            <w:vAlign w:val="center"/>
          </w:tcPr>
          <w:p>
            <w:pPr>
              <w:pStyle w:val="TableContents"/>
              <w:rPr/>
            </w:pPr>
            <w:r>
              <w:rPr/>
              <w:t>Dispute Resolution</w:t>
            </w:r>
          </w:p>
        </w:tc>
        <w:tc>
          <w:tcPr>
            <w:tcW w:w="3921" w:type="dxa"/>
            <w:tcBorders>
              <w:start w:val="single" w:sz="4" w:space="0" w:color="000000"/>
              <w:bottom w:val="single" w:sz="4" w:space="0" w:color="000000"/>
            </w:tcBorders>
            <w:vAlign w:val="center"/>
          </w:tcPr>
          <w:p>
            <w:pPr>
              <w:pStyle w:val="TableContents"/>
              <w:rPr/>
            </w:pPr>
            <w:r>
              <w:rPr/>
              <w:t>LCA disputes excluded from CA jurisdiction - most frequent disputes are over LCAs.</w:t>
            </w:r>
          </w:p>
        </w:tc>
        <w:tc>
          <w:tcPr>
            <w:tcW w:w="4546" w:type="dxa"/>
            <w:tcBorders>
              <w:start w:val="single" w:sz="4" w:space="0" w:color="000000"/>
              <w:bottom w:val="single" w:sz="4" w:space="0" w:color="000000"/>
            </w:tcBorders>
            <w:vAlign w:val="center"/>
          </w:tcPr>
          <w:p>
            <w:pPr>
              <w:pStyle w:val="TableContents"/>
              <w:rPr/>
            </w:pPr>
            <w:r>
              <w:rPr/>
              <w:t>Add: (f) disputes relating to limited common areas to the list of matters the CA can adjudicate.</w:t>
            </w:r>
          </w:p>
        </w:tc>
        <w:tc>
          <w:tcPr>
            <w:tcW w:w="4402" w:type="dxa"/>
            <w:tcBorders>
              <w:start w:val="single" w:sz="4" w:space="0" w:color="000000"/>
              <w:bottom w:val="single" w:sz="4" w:space="0" w:color="000000"/>
              <w:end w:val="single" w:sz="4" w:space="0" w:color="000000"/>
            </w:tcBorders>
            <w:vAlign w:val="center"/>
          </w:tcPr>
          <w:p>
            <w:pPr>
              <w:pStyle w:val="TableContents"/>
              <w:rPr/>
            </w:pPr>
            <w:r>
              <w:rPr/>
              <w:t>Most common disputes are left unsupported. Excluding them forces owners to civil court, defeating ADR function offered by CA.</w:t>
            </w:r>
          </w:p>
        </w:tc>
      </w:tr>
      <w:tr>
        <w:trPr>
          <w:cantSplit/>
        </w:trPr>
        <w:tc>
          <w:tcPr>
            <w:tcW w:w="481" w:type="dxa"/>
            <w:tcBorders>
              <w:start w:val="single" w:sz="4" w:space="0" w:color="000000"/>
              <w:bottom w:val="single" w:sz="4" w:space="0" w:color="000000"/>
            </w:tcBorders>
            <w:vAlign w:val="center"/>
          </w:tcPr>
          <w:p>
            <w:pPr>
              <w:pStyle w:val="TableContents"/>
              <w:rPr/>
            </w:pPr>
            <w:r>
              <w:rPr/>
              <w:t>170</w:t>
            </w:r>
          </w:p>
        </w:tc>
        <w:tc>
          <w:tcPr>
            <w:tcW w:w="985" w:type="dxa"/>
            <w:tcBorders>
              <w:start w:val="single" w:sz="4" w:space="0" w:color="000000"/>
              <w:bottom w:val="single" w:sz="4" w:space="0" w:color="000000"/>
            </w:tcBorders>
            <w:vAlign w:val="center"/>
          </w:tcPr>
          <w:p>
            <w:pPr>
              <w:pStyle w:val="TableContents"/>
              <w:rPr/>
            </w:pPr>
            <w:r>
              <w:rPr/>
              <w:t>55</w:t>
            </w:r>
          </w:p>
        </w:tc>
        <w:tc>
          <w:tcPr>
            <w:tcW w:w="1597" w:type="dxa"/>
            <w:tcBorders>
              <w:start w:val="single" w:sz="4" w:space="0" w:color="000000"/>
              <w:bottom w:val="single" w:sz="4" w:space="0" w:color="000000"/>
            </w:tcBorders>
            <w:vAlign w:val="center"/>
          </w:tcPr>
          <w:p>
            <w:pPr>
              <w:pStyle w:val="TableContents"/>
              <w:rPr/>
            </w:pPr>
            <w:r>
              <w:rPr/>
              <w:t>Dispute Resolution</w:t>
            </w:r>
          </w:p>
        </w:tc>
        <w:tc>
          <w:tcPr>
            <w:tcW w:w="3921" w:type="dxa"/>
            <w:tcBorders>
              <w:start w:val="single" w:sz="4" w:space="0" w:color="000000"/>
              <w:bottom w:val="single" w:sz="4" w:space="0" w:color="000000"/>
            </w:tcBorders>
            <w:vAlign w:val="center"/>
          </w:tcPr>
          <w:p>
            <w:pPr>
              <w:pStyle w:val="TableContents"/>
              <w:rPr/>
            </w:pPr>
            <w:r>
              <w:rPr/>
              <w:t>Huge load of complaints expected - CA must have enough staff.</w:t>
            </w:r>
          </w:p>
        </w:tc>
        <w:tc>
          <w:tcPr>
            <w:tcW w:w="4546" w:type="dxa"/>
            <w:tcBorders>
              <w:start w:val="single" w:sz="4" w:space="0" w:color="000000"/>
              <w:bottom w:val="single" w:sz="4" w:space="0" w:color="000000"/>
            </w:tcBorders>
            <w:vAlign w:val="center"/>
          </w:tcPr>
          <w:p>
            <w:pPr>
              <w:pStyle w:val="TableContents"/>
              <w:rPr/>
            </w:pPr>
            <w:r>
              <w:rPr/>
              <w:t>Add provision ensuring adequate staffing; timeline for disposal.</w:t>
            </w:r>
          </w:p>
        </w:tc>
        <w:tc>
          <w:tcPr>
            <w:tcW w:w="4402" w:type="dxa"/>
            <w:tcBorders>
              <w:start w:val="single" w:sz="4" w:space="0" w:color="000000"/>
              <w:bottom w:val="single" w:sz="4" w:space="0" w:color="000000"/>
              <w:end w:val="single" w:sz="4" w:space="0" w:color="000000"/>
            </w:tcBorders>
            <w:vAlign w:val="center"/>
          </w:tcPr>
          <w:p>
            <w:pPr>
              <w:pStyle w:val="TableContents"/>
              <w:rPr/>
            </w:pPr>
            <w:r>
              <w:rPr/>
              <w:t>There will be huge load of complaints. CA must have enough staff to complete all complaints within prescribed time. Otherwise excessive load will kill core purpose.</w:t>
            </w:r>
          </w:p>
        </w:tc>
      </w:tr>
      <w:tr>
        <w:trPr>
          <w:cantSplit/>
        </w:trPr>
        <w:tc>
          <w:tcPr>
            <w:tcW w:w="481" w:type="dxa"/>
            <w:tcBorders>
              <w:start w:val="single" w:sz="4" w:space="0" w:color="000000"/>
              <w:bottom w:val="single" w:sz="4" w:space="0" w:color="000000"/>
            </w:tcBorders>
            <w:vAlign w:val="center"/>
          </w:tcPr>
          <w:p>
            <w:pPr>
              <w:pStyle w:val="TableContents"/>
              <w:rPr/>
            </w:pPr>
            <w:r>
              <w:rPr/>
              <w:t>171</w:t>
            </w:r>
          </w:p>
        </w:tc>
        <w:tc>
          <w:tcPr>
            <w:tcW w:w="985" w:type="dxa"/>
            <w:tcBorders>
              <w:start w:val="single" w:sz="4" w:space="0" w:color="000000"/>
              <w:bottom w:val="single" w:sz="4" w:space="0" w:color="000000"/>
            </w:tcBorders>
            <w:vAlign w:val="center"/>
          </w:tcPr>
          <w:p>
            <w:pPr>
              <w:pStyle w:val="TableContents"/>
              <w:rPr/>
            </w:pPr>
            <w:r>
              <w:rPr/>
              <w:t>55</w:t>
            </w:r>
          </w:p>
        </w:tc>
        <w:tc>
          <w:tcPr>
            <w:tcW w:w="1597" w:type="dxa"/>
            <w:tcBorders>
              <w:start w:val="single" w:sz="4" w:space="0" w:color="000000"/>
              <w:bottom w:val="single" w:sz="4" w:space="0" w:color="000000"/>
            </w:tcBorders>
            <w:vAlign w:val="center"/>
          </w:tcPr>
          <w:p>
            <w:pPr>
              <w:pStyle w:val="TableContents"/>
              <w:rPr/>
            </w:pPr>
            <w:r>
              <w:rPr/>
              <w:t>Procedural</w:t>
            </w:r>
          </w:p>
        </w:tc>
        <w:tc>
          <w:tcPr>
            <w:tcW w:w="3921" w:type="dxa"/>
            <w:tcBorders>
              <w:start w:val="single" w:sz="4" w:space="0" w:color="000000"/>
              <w:bottom w:val="single" w:sz="4" w:space="0" w:color="000000"/>
            </w:tcBorders>
            <w:vAlign w:val="center"/>
          </w:tcPr>
          <w:p>
            <w:pPr>
              <w:pStyle w:val="TableContents"/>
              <w:rPr/>
            </w:pPr>
            <w:r>
              <w:rPr/>
              <w:t>No prohibition on CA demanding fresh production of already-indexed documents during disputes.</w:t>
            </w:r>
          </w:p>
        </w:tc>
        <w:tc>
          <w:tcPr>
            <w:tcW w:w="4546" w:type="dxa"/>
            <w:tcBorders>
              <w:start w:val="single" w:sz="4" w:space="0" w:color="000000"/>
              <w:bottom w:val="single" w:sz="4" w:space="0" w:color="000000"/>
            </w:tcBorders>
            <w:vAlign w:val="center"/>
          </w:tcPr>
          <w:p>
            <w:pPr>
              <w:pStyle w:val="TableContents"/>
              <w:rPr/>
            </w:pPr>
            <w:r>
              <w:rPr/>
              <w:t>Insert Section 55A: "No Competent Authority shall require a party to produce a document already available in the indexed repository, except in circumstances enumerated in section 41D(3)."</w:t>
            </w:r>
          </w:p>
        </w:tc>
        <w:tc>
          <w:tcPr>
            <w:tcW w:w="4402" w:type="dxa"/>
            <w:tcBorders>
              <w:start w:val="single" w:sz="4" w:space="0" w:color="000000"/>
              <w:bottom w:val="single" w:sz="4" w:space="0" w:color="000000"/>
              <w:end w:val="single" w:sz="4" w:space="0" w:color="000000"/>
            </w:tcBorders>
            <w:vAlign w:val="center"/>
          </w:tcPr>
          <w:p>
            <w:pPr>
              <w:pStyle w:val="TableContents"/>
              <w:rPr/>
            </w:pPr>
            <w:r>
              <w:rPr/>
              <w:t>Prevents bureaucratic harassment and delays.</w:t>
            </w:r>
          </w:p>
        </w:tc>
      </w:tr>
      <w:tr>
        <w:trPr>
          <w:cantSplit/>
        </w:trPr>
        <w:tc>
          <w:tcPr>
            <w:tcW w:w="481" w:type="dxa"/>
            <w:tcBorders>
              <w:start w:val="single" w:sz="4" w:space="0" w:color="000000"/>
              <w:bottom w:val="single" w:sz="4" w:space="0" w:color="000000"/>
            </w:tcBorders>
            <w:vAlign w:val="center"/>
          </w:tcPr>
          <w:p>
            <w:pPr>
              <w:pStyle w:val="TableContents"/>
              <w:rPr/>
            </w:pPr>
            <w:r>
              <w:rPr/>
              <w:t>172</w:t>
            </w:r>
          </w:p>
        </w:tc>
        <w:tc>
          <w:tcPr>
            <w:tcW w:w="985" w:type="dxa"/>
            <w:tcBorders>
              <w:start w:val="single" w:sz="4" w:space="0" w:color="000000"/>
              <w:bottom w:val="single" w:sz="4" w:space="0" w:color="000000"/>
            </w:tcBorders>
            <w:vAlign w:val="center"/>
          </w:tcPr>
          <w:p>
            <w:pPr>
              <w:pStyle w:val="TableContents"/>
              <w:rPr/>
            </w:pPr>
            <w:r>
              <w:rPr/>
              <w:t>56</w:t>
            </w:r>
          </w:p>
        </w:tc>
        <w:tc>
          <w:tcPr>
            <w:tcW w:w="1597" w:type="dxa"/>
            <w:tcBorders>
              <w:start w:val="single" w:sz="4" w:space="0" w:color="000000"/>
              <w:bottom w:val="single" w:sz="4" w:space="0" w:color="000000"/>
            </w:tcBorders>
            <w:vAlign w:val="center"/>
          </w:tcPr>
          <w:p>
            <w:pPr>
              <w:pStyle w:val="TableContents"/>
              <w:rPr/>
            </w:pPr>
            <w:r>
              <w:rPr/>
              <w:t>Taxation</w:t>
            </w:r>
          </w:p>
        </w:tc>
        <w:tc>
          <w:tcPr>
            <w:tcW w:w="3921" w:type="dxa"/>
            <w:tcBorders>
              <w:start w:val="single" w:sz="4" w:space="0" w:color="000000"/>
              <w:bottom w:val="single" w:sz="4" w:space="0" w:color="000000"/>
            </w:tcBorders>
            <w:vAlign w:val="center"/>
          </w:tcPr>
          <w:p>
            <w:pPr>
              <w:pStyle w:val="TableContents"/>
              <w:rPr/>
            </w:pPr>
            <w:r>
              <w:rPr/>
              <w:t>"Separate assessment" - borrowed from KAOA. Unclear whether applies to commercial "apartments" (shops) and commercial facilities (clubhouse, gym).</w:t>
            </w:r>
          </w:p>
        </w:tc>
        <w:tc>
          <w:tcPr>
            <w:tcW w:w="4546" w:type="dxa"/>
            <w:tcBorders>
              <w:start w:val="single" w:sz="4" w:space="0" w:color="000000"/>
              <w:bottom w:val="single" w:sz="4" w:space="0" w:color="000000"/>
            </w:tcBorders>
            <w:vAlign w:val="center"/>
          </w:tcPr>
          <w:p>
            <w:pPr>
              <w:pStyle w:val="TableContents"/>
              <w:rPr/>
            </w:pPr>
            <w:r>
              <w:rPr/>
              <w:t>Clarify that commercial "apartments" (shops) are also separately assessable, and clarify tax on commercial facilities.</w:t>
            </w:r>
          </w:p>
        </w:tc>
        <w:tc>
          <w:tcPr>
            <w:tcW w:w="4402" w:type="dxa"/>
            <w:tcBorders>
              <w:start w:val="single" w:sz="4" w:space="0" w:color="000000"/>
              <w:bottom w:val="single" w:sz="4" w:space="0" w:color="000000"/>
              <w:end w:val="single" w:sz="4" w:space="0" w:color="000000"/>
            </w:tcBorders>
            <w:vAlign w:val="center"/>
          </w:tcPr>
          <w:p>
            <w:pPr>
              <w:pStyle w:val="TableContents"/>
              <w:rPr/>
            </w:pPr>
            <w:r>
              <w:rPr/>
              <w:t>Legacy Provision: Drafted for residential units. Unclear whether applies to commercial units and commercial facilities. Tax authorities confused.</w:t>
            </w:r>
          </w:p>
        </w:tc>
      </w:tr>
      <w:tr>
        <w:trPr>
          <w:cantSplit/>
        </w:trPr>
        <w:tc>
          <w:tcPr>
            <w:tcW w:w="481" w:type="dxa"/>
            <w:tcBorders>
              <w:start w:val="single" w:sz="4" w:space="0" w:color="000000"/>
              <w:bottom w:val="single" w:sz="4" w:space="0" w:color="000000"/>
            </w:tcBorders>
            <w:vAlign w:val="center"/>
          </w:tcPr>
          <w:p>
            <w:pPr>
              <w:pStyle w:val="TableContents"/>
              <w:rPr/>
            </w:pPr>
            <w:r>
              <w:rPr/>
              <w:t>173</w:t>
            </w:r>
          </w:p>
        </w:tc>
        <w:tc>
          <w:tcPr>
            <w:tcW w:w="985" w:type="dxa"/>
            <w:tcBorders>
              <w:start w:val="single" w:sz="4" w:space="0" w:color="000000"/>
              <w:bottom w:val="single" w:sz="4" w:space="0" w:color="000000"/>
            </w:tcBorders>
            <w:vAlign w:val="center"/>
          </w:tcPr>
          <w:p>
            <w:pPr>
              <w:pStyle w:val="TableContents"/>
              <w:rPr/>
            </w:pPr>
            <w:r>
              <w:rPr/>
              <w:t>57(4)</w:t>
            </w:r>
          </w:p>
        </w:tc>
        <w:tc>
          <w:tcPr>
            <w:tcW w:w="1597" w:type="dxa"/>
            <w:tcBorders>
              <w:start w:val="single" w:sz="4" w:space="0" w:color="000000"/>
              <w:bottom w:val="single" w:sz="4" w:space="0" w:color="000000"/>
            </w:tcBorders>
            <w:vAlign w:val="center"/>
          </w:tcPr>
          <w:p>
            <w:pPr>
              <w:pStyle w:val="TableContents"/>
              <w:rPr/>
            </w:pPr>
            <w:r>
              <w:rPr/>
              <w:t>Legal/Judicial</w:t>
            </w:r>
          </w:p>
        </w:tc>
        <w:tc>
          <w:tcPr>
            <w:tcW w:w="3921" w:type="dxa"/>
            <w:tcBorders>
              <w:start w:val="single" w:sz="4" w:space="0" w:color="000000"/>
              <w:bottom w:val="single" w:sz="4" w:space="0" w:color="000000"/>
            </w:tcBorders>
            <w:vAlign w:val="center"/>
          </w:tcPr>
          <w:p>
            <w:pPr>
              <w:pStyle w:val="TableContents"/>
              <w:rPr/>
            </w:pPr>
            <w:r>
              <w:rPr/>
              <w:t>Service of summons on association where right/title/interest of individual owners affected. Violates natural justice.</w:t>
            </w:r>
          </w:p>
        </w:tc>
        <w:tc>
          <w:tcPr>
            <w:tcW w:w="4546" w:type="dxa"/>
            <w:tcBorders>
              <w:start w:val="single" w:sz="4" w:space="0" w:color="000000"/>
              <w:bottom w:val="single" w:sz="4" w:space="0" w:color="000000"/>
            </w:tcBorders>
            <w:vAlign w:val="center"/>
          </w:tcPr>
          <w:p>
            <w:pPr>
              <w:pStyle w:val="TableContents"/>
              <w:rPr/>
            </w:pPr>
            <w:r>
              <w:rPr/>
              <w:t>Amend: "Service of summons or other legal process in any proceeding relating to management of common areas may be effected upon association. However, any proceeding that directly affects right, title or interest of an individual apartment owner shall be instituted only against that owner personally, who shall be made necessary party, and service of summons shall be effected directly upon such owner."</w:t>
            </w:r>
          </w:p>
        </w:tc>
        <w:tc>
          <w:tcPr>
            <w:tcW w:w="4402" w:type="dxa"/>
            <w:tcBorders>
              <w:start w:val="single" w:sz="4" w:space="0" w:color="000000"/>
              <w:bottom w:val="single" w:sz="4" w:space="0" w:color="000000"/>
              <w:end w:val="single" w:sz="4" w:space="0" w:color="000000"/>
            </w:tcBorders>
            <w:vAlign w:val="center"/>
          </w:tcPr>
          <w:p>
            <w:pPr>
              <w:pStyle w:val="TableContents"/>
              <w:rPr/>
            </w:pPr>
            <w:r>
              <w:rPr/>
              <w:t>If right, title, or interest of one or more owners is affected, they become necessary party. Entitled to represent themselves directly, not through MC. Being "brought to notice" is not same as being served with summons. Owner must have opportunity to be heard, cross-examine, lead evidence, appeal in own name.</w:t>
            </w:r>
          </w:p>
        </w:tc>
      </w:tr>
      <w:tr>
        <w:trPr>
          <w:cantSplit/>
        </w:trPr>
        <w:tc>
          <w:tcPr>
            <w:tcW w:w="481" w:type="dxa"/>
            <w:tcBorders>
              <w:start w:val="single" w:sz="4" w:space="0" w:color="000000"/>
              <w:bottom w:val="single" w:sz="4" w:space="0" w:color="000000"/>
            </w:tcBorders>
            <w:vAlign w:val="center"/>
          </w:tcPr>
          <w:p>
            <w:pPr>
              <w:pStyle w:val="TableContents"/>
              <w:rPr/>
            </w:pPr>
            <w:r>
              <w:rPr/>
              <w:t>174</w:t>
            </w:r>
          </w:p>
        </w:tc>
        <w:tc>
          <w:tcPr>
            <w:tcW w:w="985" w:type="dxa"/>
            <w:tcBorders>
              <w:start w:val="single" w:sz="4" w:space="0" w:color="000000"/>
              <w:bottom w:val="single" w:sz="4" w:space="0" w:color="000000"/>
            </w:tcBorders>
            <w:vAlign w:val="center"/>
          </w:tcPr>
          <w:p>
            <w:pPr>
              <w:pStyle w:val="TableContents"/>
              <w:rPr/>
            </w:pPr>
            <w:r>
              <w:rPr/>
              <w:t>58</w:t>
            </w:r>
          </w:p>
        </w:tc>
        <w:tc>
          <w:tcPr>
            <w:tcW w:w="1597" w:type="dxa"/>
            <w:tcBorders>
              <w:start w:val="single" w:sz="4" w:space="0" w:color="000000"/>
              <w:bottom w:val="single" w:sz="4" w:space="0" w:color="000000"/>
            </w:tcBorders>
            <w:vAlign w:val="center"/>
          </w:tcPr>
          <w:p>
            <w:pPr>
              <w:pStyle w:val="TableContents"/>
              <w:rPr/>
            </w:pPr>
            <w:r>
              <w:rPr/>
              <w:t>Legal</w:t>
            </w:r>
          </w:p>
        </w:tc>
        <w:tc>
          <w:tcPr>
            <w:tcW w:w="3921" w:type="dxa"/>
            <w:tcBorders>
              <w:start w:val="single" w:sz="4" w:space="0" w:color="000000"/>
              <w:bottom w:val="single" w:sz="4" w:space="0" w:color="000000"/>
            </w:tcBorders>
            <w:vAlign w:val="center"/>
          </w:tcPr>
          <w:p>
            <w:pPr>
              <w:pStyle w:val="TableContents"/>
              <w:rPr/>
            </w:pPr>
            <w:r>
              <w:rPr/>
              <w:t>Act binding on apartment owners, occupants, etc. - but "need definition and process" for who is bound.</w:t>
            </w:r>
          </w:p>
        </w:tc>
        <w:tc>
          <w:tcPr>
            <w:tcW w:w="4546" w:type="dxa"/>
            <w:tcBorders>
              <w:start w:val="single" w:sz="4" w:space="0" w:color="000000"/>
              <w:bottom w:val="single" w:sz="4" w:space="0" w:color="000000"/>
            </w:tcBorders>
            <w:vAlign w:val="center"/>
          </w:tcPr>
          <w:p>
            <w:pPr>
              <w:pStyle w:val="TableContents"/>
              <w:rPr/>
            </w:pPr>
            <w:r>
              <w:rPr/>
              <w:t>Add definitions and process.</w:t>
            </w:r>
          </w:p>
        </w:tc>
        <w:tc>
          <w:tcPr>
            <w:tcW w:w="4402" w:type="dxa"/>
            <w:tcBorders>
              <w:start w:val="single" w:sz="4" w:space="0" w:color="000000"/>
              <w:bottom w:val="single" w:sz="4" w:space="0" w:color="000000"/>
              <w:end w:val="single" w:sz="4" w:space="0" w:color="000000"/>
            </w:tcBorders>
            <w:vAlign w:val="center"/>
          </w:tcPr>
          <w:p>
            <w:pPr>
              <w:pStyle w:val="TableContents"/>
              <w:rPr/>
            </w:pPr>
            <w:r>
              <w:rPr/>
              <w:t>Clarity needed on binding effect.</w:t>
            </w:r>
          </w:p>
        </w:tc>
      </w:tr>
      <w:tr>
        <w:trPr>
          <w:cantSplit/>
        </w:trPr>
        <w:tc>
          <w:tcPr>
            <w:tcW w:w="481" w:type="dxa"/>
            <w:tcBorders>
              <w:start w:val="single" w:sz="4" w:space="0" w:color="000000"/>
              <w:bottom w:val="single" w:sz="4" w:space="0" w:color="000000"/>
            </w:tcBorders>
            <w:vAlign w:val="center"/>
          </w:tcPr>
          <w:p>
            <w:pPr>
              <w:pStyle w:val="TableContents"/>
              <w:rPr/>
            </w:pPr>
            <w:r>
              <w:rPr/>
              <w:t>175</w:t>
            </w:r>
          </w:p>
        </w:tc>
        <w:tc>
          <w:tcPr>
            <w:tcW w:w="985" w:type="dxa"/>
            <w:tcBorders>
              <w:start w:val="single" w:sz="4" w:space="0" w:color="000000"/>
              <w:bottom w:val="single" w:sz="4" w:space="0" w:color="000000"/>
            </w:tcBorders>
            <w:vAlign w:val="center"/>
          </w:tcPr>
          <w:p>
            <w:pPr>
              <w:pStyle w:val="TableContents"/>
              <w:rPr/>
            </w:pPr>
            <w:r>
              <w:rPr/>
              <w:t>59</w:t>
            </w:r>
          </w:p>
        </w:tc>
        <w:tc>
          <w:tcPr>
            <w:tcW w:w="1597" w:type="dxa"/>
            <w:tcBorders>
              <w:start w:val="single" w:sz="4" w:space="0" w:color="000000"/>
              <w:bottom w:val="single" w:sz="4" w:space="0" w:color="000000"/>
            </w:tcBorders>
            <w:vAlign w:val="center"/>
          </w:tcPr>
          <w:p>
            <w:pPr>
              <w:pStyle w:val="TableContents"/>
              <w:rPr/>
            </w:pPr>
            <w:r>
              <w:rPr/>
              <w:t>Legal</w:t>
            </w:r>
          </w:p>
        </w:tc>
        <w:tc>
          <w:tcPr>
            <w:tcW w:w="3921" w:type="dxa"/>
            <w:tcBorders>
              <w:start w:val="single" w:sz="4" w:space="0" w:color="000000"/>
              <w:bottom w:val="single" w:sz="4" w:space="0" w:color="000000"/>
            </w:tcBorders>
            <w:vAlign w:val="center"/>
          </w:tcPr>
          <w:p>
            <w:pPr>
              <w:pStyle w:val="TableContents"/>
              <w:rPr/>
            </w:pPr>
            <w:r>
              <w:rPr/>
              <w:t>Inconsistency - Act prevails over declaration, bye-laws, agreements. "Good in theory. But who will adjudicate? People will flock to CA!"</w:t>
            </w:r>
          </w:p>
        </w:tc>
        <w:tc>
          <w:tcPr>
            <w:tcW w:w="4546" w:type="dxa"/>
            <w:tcBorders>
              <w:start w:val="single" w:sz="4" w:space="0" w:color="000000"/>
              <w:bottom w:val="single" w:sz="4" w:space="0" w:color="000000"/>
            </w:tcBorders>
            <w:vAlign w:val="center"/>
          </w:tcPr>
          <w:p>
            <w:pPr>
              <w:pStyle w:val="TableContents"/>
              <w:rPr/>
            </w:pPr>
            <w:r>
              <w:rPr/>
              <w:t>Add clear adjudication mechanism.</w:t>
            </w:r>
          </w:p>
        </w:tc>
        <w:tc>
          <w:tcPr>
            <w:tcW w:w="4402" w:type="dxa"/>
            <w:tcBorders>
              <w:start w:val="single" w:sz="4" w:space="0" w:color="000000"/>
              <w:bottom w:val="single" w:sz="4" w:space="0" w:color="000000"/>
              <w:end w:val="single" w:sz="4" w:space="0" w:color="000000"/>
            </w:tcBorders>
            <w:vAlign w:val="center"/>
          </w:tcPr>
          <w:p>
            <w:pPr>
              <w:pStyle w:val="TableContents"/>
              <w:rPr/>
            </w:pPr>
            <w:r>
              <w:rPr/>
              <w:t>Without adjudication mechanism, disputes flood CA.</w:t>
            </w:r>
          </w:p>
        </w:tc>
      </w:tr>
      <w:tr>
        <w:trPr>
          <w:cantSplit/>
        </w:trPr>
        <w:tc>
          <w:tcPr>
            <w:tcW w:w="481" w:type="dxa"/>
            <w:tcBorders>
              <w:start w:val="single" w:sz="4" w:space="0" w:color="000000"/>
              <w:bottom w:val="single" w:sz="4" w:space="0" w:color="000000"/>
            </w:tcBorders>
            <w:vAlign w:val="center"/>
          </w:tcPr>
          <w:p>
            <w:pPr>
              <w:pStyle w:val="TableContents"/>
              <w:rPr/>
            </w:pPr>
            <w:r>
              <w:rPr/>
              <w:t>176</w:t>
            </w:r>
          </w:p>
        </w:tc>
        <w:tc>
          <w:tcPr>
            <w:tcW w:w="985" w:type="dxa"/>
            <w:tcBorders>
              <w:start w:val="single" w:sz="4" w:space="0" w:color="000000"/>
              <w:bottom w:val="single" w:sz="4" w:space="0" w:color="000000"/>
            </w:tcBorders>
            <w:vAlign w:val="center"/>
          </w:tcPr>
          <w:p>
            <w:pPr>
              <w:pStyle w:val="TableContents"/>
              <w:rPr/>
            </w:pPr>
            <w:r>
              <w:rPr/>
              <w:t>61</w:t>
            </w:r>
          </w:p>
        </w:tc>
        <w:tc>
          <w:tcPr>
            <w:tcW w:w="1597" w:type="dxa"/>
            <w:tcBorders>
              <w:start w:val="single" w:sz="4" w:space="0" w:color="000000"/>
              <w:bottom w:val="single" w:sz="4" w:space="0" w:color="000000"/>
            </w:tcBorders>
            <w:vAlign w:val="center"/>
          </w:tcPr>
          <w:p>
            <w:pPr>
              <w:pStyle w:val="TableContents"/>
              <w:rPr/>
            </w:pPr>
            <w:r>
              <w:rPr/>
              <w:t>Enforcement</w:t>
            </w:r>
          </w:p>
        </w:tc>
        <w:tc>
          <w:tcPr>
            <w:tcW w:w="3921" w:type="dxa"/>
            <w:tcBorders>
              <w:start w:val="single" w:sz="4" w:space="0" w:color="000000"/>
              <w:bottom w:val="single" w:sz="4" w:space="0" w:color="000000"/>
            </w:tcBorders>
            <w:vAlign w:val="center"/>
          </w:tcPr>
          <w:p>
            <w:pPr>
              <w:pStyle w:val="TableContents"/>
              <w:rPr/>
            </w:pPr>
            <w:r>
              <w:rPr/>
              <w:t>Protection of Action Taken in Good Faith - "If they fail to comply with their duty, BNS 198 must apply to them."</w:t>
            </w:r>
          </w:p>
        </w:tc>
        <w:tc>
          <w:tcPr>
            <w:tcW w:w="4546" w:type="dxa"/>
            <w:tcBorders>
              <w:start w:val="single" w:sz="4" w:space="0" w:color="000000"/>
              <w:bottom w:val="single" w:sz="4" w:space="0" w:color="000000"/>
            </w:tcBorders>
            <w:vAlign w:val="center"/>
          </w:tcPr>
          <w:p>
            <w:pPr>
              <w:pStyle w:val="TableContents"/>
              <w:rPr/>
            </w:pPr>
            <w:r>
              <w:rPr/>
              <w:t>Add: "Nothing in this section shall protect any officer who fails to perform duties imposed under this Act without reasonable cause. Such failure shall constitute misconduct and shall be dealt with under applicable service rules and BNS 198."</w:t>
            </w:r>
          </w:p>
        </w:tc>
        <w:tc>
          <w:tcPr>
            <w:tcW w:w="4402" w:type="dxa"/>
            <w:tcBorders>
              <w:start w:val="single" w:sz="4" w:space="0" w:color="000000"/>
              <w:bottom w:val="single" w:sz="4" w:space="0" w:color="000000"/>
              <w:end w:val="single" w:sz="4" w:space="0" w:color="000000"/>
            </w:tcBorders>
            <w:vAlign w:val="center"/>
          </w:tcPr>
          <w:p>
            <w:pPr>
              <w:pStyle w:val="TableContents"/>
              <w:rPr/>
            </w:pPr>
            <w:r>
              <w:rPr/>
              <w:t>Accountability for CA inaction.</w:t>
            </w:r>
          </w:p>
        </w:tc>
      </w:tr>
      <w:tr>
        <w:trPr>
          <w:cantSplit/>
        </w:trPr>
        <w:tc>
          <w:tcPr>
            <w:tcW w:w="481" w:type="dxa"/>
            <w:tcBorders>
              <w:start w:val="single" w:sz="4" w:space="0" w:color="000000"/>
              <w:bottom w:val="single" w:sz="4" w:space="0" w:color="000000"/>
            </w:tcBorders>
            <w:vAlign w:val="center"/>
          </w:tcPr>
          <w:p>
            <w:pPr>
              <w:pStyle w:val="TableContents"/>
              <w:rPr/>
            </w:pPr>
            <w:r>
              <w:rPr/>
              <w:t>177</w:t>
            </w:r>
          </w:p>
        </w:tc>
        <w:tc>
          <w:tcPr>
            <w:tcW w:w="985" w:type="dxa"/>
            <w:tcBorders>
              <w:start w:val="single" w:sz="4" w:space="0" w:color="000000"/>
              <w:bottom w:val="single" w:sz="4" w:space="0" w:color="000000"/>
            </w:tcBorders>
            <w:vAlign w:val="center"/>
          </w:tcPr>
          <w:p>
            <w:pPr>
              <w:pStyle w:val="TableContents"/>
              <w:rPr/>
            </w:pPr>
            <w:r>
              <w:rPr/>
              <w:t>61</w:t>
            </w:r>
          </w:p>
        </w:tc>
        <w:tc>
          <w:tcPr>
            <w:tcW w:w="1597" w:type="dxa"/>
            <w:tcBorders>
              <w:start w:val="single" w:sz="4" w:space="0" w:color="000000"/>
              <w:bottom w:val="single" w:sz="4" w:space="0" w:color="000000"/>
            </w:tcBorders>
            <w:vAlign w:val="center"/>
          </w:tcPr>
          <w:p>
            <w:pPr>
              <w:pStyle w:val="TableContents"/>
              <w:rPr/>
            </w:pPr>
            <w:r>
              <w:rPr/>
              <w:t>Enforcement</w:t>
            </w:r>
          </w:p>
        </w:tc>
        <w:tc>
          <w:tcPr>
            <w:tcW w:w="3921" w:type="dxa"/>
            <w:tcBorders>
              <w:start w:val="single" w:sz="4" w:space="0" w:color="000000"/>
              <w:bottom w:val="single" w:sz="4" w:space="0" w:color="000000"/>
            </w:tcBorders>
            <w:vAlign w:val="center"/>
          </w:tcPr>
          <w:p>
            <w:pPr>
              <w:pStyle w:val="TableContents"/>
              <w:rPr/>
            </w:pPr>
            <w:r>
              <w:rPr/>
              <w:t>No penalty for CA inaction.</w:t>
            </w:r>
          </w:p>
        </w:tc>
        <w:tc>
          <w:tcPr>
            <w:tcW w:w="4546" w:type="dxa"/>
            <w:tcBorders>
              <w:start w:val="single" w:sz="4" w:space="0" w:color="000000"/>
              <w:bottom w:val="single" w:sz="4" w:space="0" w:color="000000"/>
            </w:tcBorders>
            <w:vAlign w:val="center"/>
          </w:tcPr>
          <w:p>
            <w:pPr>
              <w:pStyle w:val="TableContents"/>
              <w:rPr/>
            </w:pPr>
            <w:r>
              <w:rPr/>
              <w:t>Add Section 61: "Where CA or any officer fails to perform duties imposed under this Act without reasonable cause, such failure shall constitute misconduct and shall be dealt with under applicable service rules and BNS 198. Any person aggrieved by CA's failure to act may approach First Appellate Authority, which may direct CA to act within specified time and impose costs."</w:t>
            </w:r>
          </w:p>
        </w:tc>
        <w:tc>
          <w:tcPr>
            <w:tcW w:w="4402" w:type="dxa"/>
            <w:tcBorders>
              <w:start w:val="single" w:sz="4" w:space="0" w:color="000000"/>
              <w:bottom w:val="single" w:sz="4" w:space="0" w:color="000000"/>
              <w:end w:val="single" w:sz="4" w:space="0" w:color="000000"/>
            </w:tcBorders>
            <w:vAlign w:val="center"/>
          </w:tcPr>
          <w:p>
            <w:pPr>
              <w:pStyle w:val="TableContents"/>
              <w:rPr/>
            </w:pPr>
            <w:r>
              <w:rPr/>
              <w:t>No consequence for CA inaction.</w:t>
            </w:r>
          </w:p>
        </w:tc>
      </w:tr>
      <w:tr>
        <w:trPr>
          <w:cantSplit/>
        </w:trPr>
        <w:tc>
          <w:tcPr>
            <w:tcW w:w="481" w:type="dxa"/>
            <w:tcBorders>
              <w:start w:val="single" w:sz="4" w:space="0" w:color="000000"/>
              <w:bottom w:val="single" w:sz="4" w:space="0" w:color="000000"/>
            </w:tcBorders>
            <w:vAlign w:val="center"/>
          </w:tcPr>
          <w:p>
            <w:pPr>
              <w:pStyle w:val="TableContents"/>
              <w:rPr/>
            </w:pPr>
            <w:r>
              <w:rPr/>
              <w:t>178</w:t>
            </w:r>
          </w:p>
        </w:tc>
        <w:tc>
          <w:tcPr>
            <w:tcW w:w="985" w:type="dxa"/>
            <w:tcBorders>
              <w:start w:val="single" w:sz="4" w:space="0" w:color="000000"/>
              <w:bottom w:val="single" w:sz="4" w:space="0" w:color="000000"/>
            </w:tcBorders>
            <w:vAlign w:val="center"/>
          </w:tcPr>
          <w:p>
            <w:pPr>
              <w:pStyle w:val="TableContents"/>
              <w:rPr/>
            </w:pPr>
            <w:r>
              <w:rPr/>
              <w:t>62</w:t>
            </w:r>
          </w:p>
        </w:tc>
        <w:tc>
          <w:tcPr>
            <w:tcW w:w="1597" w:type="dxa"/>
            <w:tcBorders>
              <w:start w:val="single" w:sz="4" w:space="0" w:color="000000"/>
              <w:bottom w:val="single" w:sz="4" w:space="0" w:color="000000"/>
            </w:tcBorders>
            <w:vAlign w:val="center"/>
          </w:tcPr>
          <w:p>
            <w:pPr>
              <w:pStyle w:val="TableContents"/>
              <w:rPr/>
            </w:pPr>
            <w:r>
              <w:rPr/>
              <w:t>Rule-making</w:t>
            </w:r>
          </w:p>
        </w:tc>
        <w:tc>
          <w:tcPr>
            <w:tcW w:w="3921" w:type="dxa"/>
            <w:tcBorders>
              <w:start w:val="single" w:sz="4" w:space="0" w:color="000000"/>
              <w:bottom w:val="single" w:sz="4" w:space="0" w:color="000000"/>
            </w:tcBorders>
            <w:vAlign w:val="center"/>
          </w:tcPr>
          <w:p>
            <w:pPr>
              <w:pStyle w:val="TableContents"/>
              <w:rPr/>
            </w:pPr>
            <w:r>
              <w:rPr/>
              <w:t>Power to make rules - valid.</w:t>
            </w:r>
          </w:p>
        </w:tc>
        <w:tc>
          <w:tcPr>
            <w:tcW w:w="4546" w:type="dxa"/>
            <w:tcBorders>
              <w:start w:val="single" w:sz="4" w:space="0" w:color="000000"/>
              <w:bottom w:val="single" w:sz="4" w:space="0" w:color="000000"/>
            </w:tcBorders>
            <w:vAlign w:val="center"/>
          </w:tcPr>
          <w:p>
            <w:pPr>
              <w:pStyle w:val="TableContents"/>
              <w:rPr/>
            </w:pPr>
            <w:r>
              <w:rPr/>
              <w:t>No change needed.</w:t>
            </w:r>
          </w:p>
        </w:tc>
        <w:tc>
          <w:tcPr>
            <w:tcW w:w="4402" w:type="dxa"/>
            <w:tcBorders>
              <w:start w:val="single" w:sz="4" w:space="0" w:color="000000"/>
              <w:bottom w:val="single" w:sz="4" w:space="0" w:color="000000"/>
              <w:end w:val="single" w:sz="4" w:space="0" w:color="000000"/>
            </w:tcBorders>
            <w:vAlign w:val="center"/>
          </w:tcPr>
          <w:p>
            <w:pPr>
              <w:pStyle w:val="TableContents"/>
              <w:rPr/>
            </w:pPr>
            <w:r>
              <w:rPr/>
              <w:t>Standard enabling provision.</w:t>
            </w:r>
          </w:p>
        </w:tc>
      </w:tr>
      <w:tr>
        <w:trPr>
          <w:cantSplit/>
        </w:trPr>
        <w:tc>
          <w:tcPr>
            <w:tcW w:w="481" w:type="dxa"/>
            <w:tcBorders>
              <w:start w:val="single" w:sz="4" w:space="0" w:color="000000"/>
              <w:bottom w:val="single" w:sz="4" w:space="0" w:color="000000"/>
            </w:tcBorders>
            <w:vAlign w:val="center"/>
          </w:tcPr>
          <w:p>
            <w:pPr>
              <w:pStyle w:val="TableContents"/>
              <w:rPr/>
            </w:pPr>
            <w:r>
              <w:rPr/>
              <w:t>179</w:t>
            </w:r>
          </w:p>
        </w:tc>
        <w:tc>
          <w:tcPr>
            <w:tcW w:w="985" w:type="dxa"/>
            <w:tcBorders>
              <w:start w:val="single" w:sz="4" w:space="0" w:color="000000"/>
              <w:bottom w:val="single" w:sz="4" w:space="0" w:color="000000"/>
            </w:tcBorders>
            <w:vAlign w:val="center"/>
          </w:tcPr>
          <w:p>
            <w:pPr>
              <w:pStyle w:val="TableContents"/>
              <w:rPr/>
            </w:pPr>
            <w:r>
              <w:rPr/>
              <w:t>63</w:t>
            </w:r>
          </w:p>
        </w:tc>
        <w:tc>
          <w:tcPr>
            <w:tcW w:w="1597" w:type="dxa"/>
            <w:tcBorders>
              <w:start w:val="single" w:sz="4" w:space="0" w:color="000000"/>
              <w:bottom w:val="single" w:sz="4" w:space="0" w:color="000000"/>
            </w:tcBorders>
            <w:vAlign w:val="center"/>
          </w:tcPr>
          <w:p>
            <w:pPr>
              <w:pStyle w:val="TableContents"/>
              <w:rPr/>
            </w:pPr>
            <w:r>
              <w:rPr/>
              <w:t>Power to Remove Difficulties</w:t>
            </w:r>
          </w:p>
        </w:tc>
        <w:tc>
          <w:tcPr>
            <w:tcW w:w="3921" w:type="dxa"/>
            <w:tcBorders>
              <w:start w:val="single" w:sz="4" w:space="0" w:color="000000"/>
              <w:bottom w:val="single" w:sz="4" w:space="0" w:color="000000"/>
            </w:tcBorders>
            <w:vAlign w:val="center"/>
          </w:tcPr>
          <w:p>
            <w:pPr>
              <w:pStyle w:val="TableContents"/>
              <w:rPr/>
            </w:pPr>
            <w:r>
              <w:rPr/>
              <w:t>Difficulties envisaged only for first two years. After that, power to amend rests with legislature only.</w:t>
            </w:r>
          </w:p>
        </w:tc>
        <w:tc>
          <w:tcPr>
            <w:tcW w:w="4546" w:type="dxa"/>
            <w:tcBorders>
              <w:start w:val="single" w:sz="4" w:space="0" w:color="000000"/>
              <w:bottom w:val="single" w:sz="4" w:space="0" w:color="000000"/>
            </w:tcBorders>
            <w:vAlign w:val="center"/>
          </w:tcPr>
          <w:p>
            <w:pPr>
              <w:pStyle w:val="TableContents"/>
              <w:rPr/>
            </w:pPr>
            <w:r>
              <w:rPr/>
              <w:t>No change - standard provision.</w:t>
            </w:r>
          </w:p>
        </w:tc>
        <w:tc>
          <w:tcPr>
            <w:tcW w:w="4402" w:type="dxa"/>
            <w:tcBorders>
              <w:start w:val="single" w:sz="4" w:space="0" w:color="000000"/>
              <w:bottom w:val="single" w:sz="4" w:space="0" w:color="000000"/>
              <w:end w:val="single" w:sz="4" w:space="0" w:color="000000"/>
            </w:tcBorders>
            <w:vAlign w:val="center"/>
          </w:tcPr>
          <w:p>
            <w:pPr>
              <w:pStyle w:val="TableContents"/>
              <w:rPr/>
            </w:pPr>
            <w:r>
              <w:rPr/>
              <w:t>Standard provision.</w:t>
            </w:r>
          </w:p>
        </w:tc>
      </w:tr>
      <w:tr>
        <w:trPr>
          <w:cantSplit/>
        </w:trPr>
        <w:tc>
          <w:tcPr>
            <w:tcW w:w="481" w:type="dxa"/>
            <w:tcBorders>
              <w:start w:val="single" w:sz="4" w:space="0" w:color="000000"/>
              <w:bottom w:val="single" w:sz="4" w:space="0" w:color="000000"/>
            </w:tcBorders>
            <w:vAlign w:val="center"/>
          </w:tcPr>
          <w:p>
            <w:pPr>
              <w:pStyle w:val="TableContents"/>
              <w:rPr/>
            </w:pPr>
            <w:r>
              <w:rPr/>
              <w:t>180</w:t>
            </w:r>
          </w:p>
        </w:tc>
        <w:tc>
          <w:tcPr>
            <w:tcW w:w="985" w:type="dxa"/>
            <w:tcBorders>
              <w:start w:val="single" w:sz="4" w:space="0" w:color="000000"/>
              <w:bottom w:val="single" w:sz="4" w:space="0" w:color="000000"/>
            </w:tcBorders>
            <w:vAlign w:val="center"/>
          </w:tcPr>
          <w:p>
            <w:pPr>
              <w:pStyle w:val="TableContents"/>
              <w:rPr/>
            </w:pPr>
            <w:r>
              <w:rPr/>
              <w:t>66</w:t>
            </w:r>
          </w:p>
        </w:tc>
        <w:tc>
          <w:tcPr>
            <w:tcW w:w="1597" w:type="dxa"/>
            <w:tcBorders>
              <w:start w:val="single" w:sz="4" w:space="0" w:color="000000"/>
              <w:bottom w:val="single" w:sz="4" w:space="0" w:color="000000"/>
            </w:tcBorders>
            <w:vAlign w:val="center"/>
          </w:tcPr>
          <w:p>
            <w:pPr>
              <w:pStyle w:val="TableContents"/>
              <w:rPr/>
            </w:pPr>
            <w:r>
              <w:rPr/>
              <w:t>Jurisdiction</w:t>
            </w:r>
          </w:p>
        </w:tc>
        <w:tc>
          <w:tcPr>
            <w:tcW w:w="3921" w:type="dxa"/>
            <w:tcBorders>
              <w:start w:val="single" w:sz="4" w:space="0" w:color="000000"/>
              <w:bottom w:val="single" w:sz="4" w:space="0" w:color="000000"/>
            </w:tcBorders>
            <w:vAlign w:val="center"/>
          </w:tcPr>
          <w:p>
            <w:pPr>
              <w:pStyle w:val="TableContents"/>
              <w:rPr/>
            </w:pPr>
            <w:r>
              <w:rPr/>
              <w:t>Bar of Jurisdiction of Civil Courts - "Where contract has mentioned adjudication through Arbitration and Conciliation Act, resolution shall be available through CA and AAs."</w:t>
            </w:r>
          </w:p>
        </w:tc>
        <w:tc>
          <w:tcPr>
            <w:tcW w:w="4546" w:type="dxa"/>
            <w:tcBorders>
              <w:start w:val="single" w:sz="4" w:space="0" w:color="000000"/>
              <w:bottom w:val="single" w:sz="4" w:space="0" w:color="000000"/>
            </w:tcBorders>
            <w:vAlign w:val="center"/>
          </w:tcPr>
          <w:p>
            <w:pPr>
              <w:pStyle w:val="TableContents"/>
              <w:rPr/>
            </w:pPr>
            <w:r>
              <w:rPr/>
              <w:t>Add: "Notwithstanding anything contained in any agreement, the dispute resolution mechanism under this Act shall be available to all apartment owners as an alternative to arbitration."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Clarity needed on jurisdiction vis-à-vis arbitration.</w:t>
            </w:r>
          </w:p>
        </w:tc>
      </w:tr>
      <w:tr>
        <w:trPr>
          <w:cantSplit/>
        </w:trPr>
        <w:tc>
          <w:tcPr>
            <w:tcW w:w="481" w:type="dxa"/>
            <w:tcBorders>
              <w:start w:val="single" w:sz="4" w:space="0" w:color="000000"/>
              <w:bottom w:val="single" w:sz="4" w:space="0" w:color="000000"/>
            </w:tcBorders>
            <w:vAlign w:val="center"/>
          </w:tcPr>
          <w:p>
            <w:pPr>
              <w:pStyle w:val="TableContents"/>
              <w:rPr/>
            </w:pPr>
            <w:r>
              <w:rPr/>
              <w:t>181</w:t>
            </w:r>
          </w:p>
        </w:tc>
        <w:tc>
          <w:tcPr>
            <w:tcW w:w="985" w:type="dxa"/>
            <w:tcBorders>
              <w:start w:val="single" w:sz="4" w:space="0" w:color="000000"/>
              <w:bottom w:val="single" w:sz="4" w:space="0" w:color="000000"/>
            </w:tcBorders>
            <w:vAlign w:val="center"/>
          </w:tcPr>
          <w:p>
            <w:pPr>
              <w:pStyle w:val="TableContents"/>
              <w:rPr/>
            </w:pPr>
            <w:r>
              <w:rPr/>
              <w:t>66</w:t>
            </w:r>
          </w:p>
        </w:tc>
        <w:tc>
          <w:tcPr>
            <w:tcW w:w="1597" w:type="dxa"/>
            <w:tcBorders>
              <w:start w:val="single" w:sz="4" w:space="0" w:color="000000"/>
              <w:bottom w:val="single" w:sz="4" w:space="0" w:color="000000"/>
            </w:tcBorders>
            <w:vAlign w:val="center"/>
          </w:tcPr>
          <w:p>
            <w:pPr>
              <w:pStyle w:val="TableContents"/>
              <w:rPr/>
            </w:pPr>
            <w:r>
              <w:rPr/>
              <w:t>Jurisdiction</w:t>
            </w:r>
          </w:p>
        </w:tc>
        <w:tc>
          <w:tcPr>
            <w:tcW w:w="3921" w:type="dxa"/>
            <w:tcBorders>
              <w:start w:val="single" w:sz="4" w:space="0" w:color="000000"/>
              <w:bottom w:val="single" w:sz="4" w:space="0" w:color="000000"/>
            </w:tcBorders>
            <w:vAlign w:val="center"/>
          </w:tcPr>
          <w:p>
            <w:pPr>
              <w:pStyle w:val="TableContents"/>
              <w:rPr/>
            </w:pPr>
            <w:r>
              <w:rPr/>
              <w:t>Bar of Civil Court jurisdiction with no judicial oversight.</w:t>
            </w:r>
          </w:p>
        </w:tc>
        <w:tc>
          <w:tcPr>
            <w:tcW w:w="4546" w:type="dxa"/>
            <w:tcBorders>
              <w:start w:val="single" w:sz="4" w:space="0" w:color="000000"/>
              <w:bottom w:val="single" w:sz="4" w:space="0" w:color="000000"/>
            </w:tcBorders>
            <w:vAlign w:val="center"/>
          </w:tcPr>
          <w:p>
            <w:pPr>
              <w:pStyle w:val="TableContents"/>
              <w:rPr/>
            </w:pPr>
            <w:r>
              <w:rPr/>
              <w:t>Reinstall civil court jurisdiction for property-related disputes, with administrative mechanism as alternative, not replacement.</w:t>
            </w:r>
          </w:p>
        </w:tc>
        <w:tc>
          <w:tcPr>
            <w:tcW w:w="4402" w:type="dxa"/>
            <w:tcBorders>
              <w:start w:val="single" w:sz="4" w:space="0" w:color="000000"/>
              <w:bottom w:val="single" w:sz="4" w:space="0" w:color="000000"/>
              <w:end w:val="single" w:sz="4" w:space="0" w:color="000000"/>
            </w:tcBorders>
            <w:vAlign w:val="center"/>
          </w:tcPr>
          <w:p>
            <w:pPr>
              <w:pStyle w:val="TableContents"/>
              <w:rPr/>
            </w:pPr>
            <w:r>
              <w:rPr/>
              <w:t>Removing traditional safeguard of independent judicial review places owners at mercy of bureaucratic authorities. CA lacks judicial independence, leading to arbitrary decisions.</w:t>
            </w:r>
          </w:p>
        </w:tc>
      </w:tr>
      <w:tr>
        <w:trPr>
          <w:cantSplit/>
        </w:trPr>
        <w:tc>
          <w:tcPr>
            <w:tcW w:w="481" w:type="dxa"/>
            <w:tcBorders>
              <w:start w:val="single" w:sz="4" w:space="0" w:color="000000"/>
              <w:bottom w:val="single" w:sz="4" w:space="0" w:color="000000"/>
            </w:tcBorders>
            <w:vAlign w:val="center"/>
          </w:tcPr>
          <w:p>
            <w:pPr>
              <w:pStyle w:val="TableContents"/>
              <w:rPr/>
            </w:pPr>
            <w:r>
              <w:rPr/>
              <w:t>182</w:t>
            </w:r>
          </w:p>
        </w:tc>
        <w:tc>
          <w:tcPr>
            <w:tcW w:w="985" w:type="dxa"/>
            <w:tcBorders>
              <w:start w:val="single" w:sz="4" w:space="0" w:color="000000"/>
              <w:bottom w:val="single" w:sz="4" w:space="0" w:color="000000"/>
            </w:tcBorders>
            <w:vAlign w:val="center"/>
          </w:tcPr>
          <w:p>
            <w:pPr>
              <w:pStyle w:val="TableContents"/>
              <w:rPr/>
            </w:pPr>
            <w:r>
              <w:rPr/>
              <w:t>67</w:t>
            </w:r>
          </w:p>
        </w:tc>
        <w:tc>
          <w:tcPr>
            <w:tcW w:w="1597" w:type="dxa"/>
            <w:tcBorders>
              <w:start w:val="single" w:sz="4" w:space="0" w:color="000000"/>
              <w:bottom w:val="single" w:sz="4" w:space="0" w:color="000000"/>
            </w:tcBorders>
            <w:vAlign w:val="center"/>
          </w:tcPr>
          <w:p>
            <w:pPr>
              <w:pStyle w:val="TableContents"/>
              <w:rPr/>
            </w:pPr>
            <w:r>
              <w:rPr/>
              <w:t>Online Portal</w:t>
            </w:r>
          </w:p>
        </w:tc>
        <w:tc>
          <w:tcPr>
            <w:tcW w:w="3921" w:type="dxa"/>
            <w:tcBorders>
              <w:start w:val="single" w:sz="4" w:space="0" w:color="000000"/>
              <w:bottom w:val="single" w:sz="4" w:space="0" w:color="000000"/>
            </w:tcBorders>
            <w:vAlign w:val="center"/>
          </w:tcPr>
          <w:p>
            <w:pPr>
              <w:pStyle w:val="TableContents"/>
              <w:rPr/>
            </w:pPr>
            <w:r>
              <w:rPr/>
              <w:t>Online portal within 2 years - too long.</w:t>
            </w:r>
          </w:p>
        </w:tc>
        <w:tc>
          <w:tcPr>
            <w:tcW w:w="4546" w:type="dxa"/>
            <w:tcBorders>
              <w:start w:val="single" w:sz="4" w:space="0" w:color="000000"/>
              <w:bottom w:val="single" w:sz="4" w:space="0" w:color="000000"/>
            </w:tcBorders>
            <w:vAlign w:val="center"/>
          </w:tcPr>
          <w:p>
            <w:pPr>
              <w:pStyle w:val="TableContents"/>
              <w:rPr/>
            </w:pPr>
            <w:r>
              <w:rPr/>
              <w:t>Reduce to 1 year.</w:t>
            </w:r>
          </w:p>
        </w:tc>
        <w:tc>
          <w:tcPr>
            <w:tcW w:w="4402" w:type="dxa"/>
            <w:tcBorders>
              <w:start w:val="single" w:sz="4" w:space="0" w:color="000000"/>
              <w:bottom w:val="single" w:sz="4" w:space="0" w:color="000000"/>
              <w:end w:val="single" w:sz="4" w:space="0" w:color="000000"/>
            </w:tcBorders>
            <w:vAlign w:val="center"/>
          </w:tcPr>
          <w:p>
            <w:pPr>
              <w:pStyle w:val="TableContents"/>
              <w:rPr/>
            </w:pPr>
            <w:r>
              <w:rPr/>
              <w:t>Two-year timeline is too long.</w:t>
            </w:r>
          </w:p>
        </w:tc>
      </w:tr>
      <w:tr>
        <w:trPr>
          <w:cantSplit/>
        </w:trPr>
        <w:tc>
          <w:tcPr>
            <w:tcW w:w="481" w:type="dxa"/>
            <w:tcBorders>
              <w:start w:val="single" w:sz="4" w:space="0" w:color="000000"/>
              <w:bottom w:val="single" w:sz="4" w:space="0" w:color="000000"/>
            </w:tcBorders>
            <w:vAlign w:val="center"/>
          </w:tcPr>
          <w:p>
            <w:pPr>
              <w:pStyle w:val="TableContents"/>
              <w:rPr/>
            </w:pPr>
            <w:r>
              <w:rPr/>
              <w:t>183</w:t>
            </w:r>
          </w:p>
        </w:tc>
        <w:tc>
          <w:tcPr>
            <w:tcW w:w="985" w:type="dxa"/>
            <w:tcBorders>
              <w:start w:val="single" w:sz="4" w:space="0" w:color="000000"/>
              <w:bottom w:val="single" w:sz="4" w:space="0" w:color="000000"/>
            </w:tcBorders>
            <w:vAlign w:val="center"/>
          </w:tcPr>
          <w:p>
            <w:pPr>
              <w:pStyle w:val="TableContents"/>
              <w:rPr/>
            </w:pPr>
            <w:r>
              <w:rPr/>
              <w:t>67</w:t>
            </w:r>
          </w:p>
        </w:tc>
        <w:tc>
          <w:tcPr>
            <w:tcW w:w="1597" w:type="dxa"/>
            <w:tcBorders>
              <w:start w:val="single" w:sz="4" w:space="0" w:color="000000"/>
              <w:bottom w:val="single" w:sz="4" w:space="0" w:color="000000"/>
            </w:tcBorders>
            <w:vAlign w:val="center"/>
          </w:tcPr>
          <w:p>
            <w:pPr>
              <w:pStyle w:val="TableContents"/>
              <w:rPr/>
            </w:pPr>
            <w:r>
              <w:rPr/>
              <w:t>Record Integrity</w:t>
            </w:r>
          </w:p>
        </w:tc>
        <w:tc>
          <w:tcPr>
            <w:tcW w:w="3921" w:type="dxa"/>
            <w:tcBorders>
              <w:start w:val="single" w:sz="4" w:space="0" w:color="000000"/>
              <w:bottom w:val="single" w:sz="4" w:space="0" w:color="000000"/>
            </w:tcBorders>
            <w:vAlign w:val="center"/>
          </w:tcPr>
          <w:p>
            <w:pPr>
              <w:pStyle w:val="TableContents"/>
              <w:rPr/>
            </w:pPr>
            <w:r>
              <w:rPr/>
              <w:t>Online portal - no specific functionality specified.</w:t>
            </w:r>
          </w:p>
        </w:tc>
        <w:tc>
          <w:tcPr>
            <w:tcW w:w="4546" w:type="dxa"/>
            <w:tcBorders>
              <w:start w:val="single" w:sz="4" w:space="0" w:color="000000"/>
              <w:bottom w:val="single" w:sz="4" w:space="0" w:color="000000"/>
            </w:tcBorders>
            <w:vAlign w:val="center"/>
          </w:tcPr>
          <w:p>
            <w:pPr>
              <w:pStyle w:val="TableContents"/>
              <w:rPr/>
            </w:pPr>
            <w:r>
              <w:rPr/>
              <w:t>Replace with: "(1) Government shall within one year establish integrated electronic registry and online portal for: (a) submission and processing; (b) maintenance with audit trail; (c) automatic verification; (d) consent verification; (e) transparency; (f) data synchronisation with Revenue, Sub-Registrar, KRERA, and Local Authorities."</w:t>
            </w:r>
          </w:p>
        </w:tc>
        <w:tc>
          <w:tcPr>
            <w:tcW w:w="4402" w:type="dxa"/>
            <w:tcBorders>
              <w:start w:val="single" w:sz="4" w:space="0" w:color="000000"/>
              <w:bottom w:val="single" w:sz="4" w:space="0" w:color="000000"/>
              <w:end w:val="single" w:sz="4" w:space="0" w:color="000000"/>
            </w:tcBorders>
            <w:vAlign w:val="center"/>
          </w:tcPr>
          <w:p>
            <w:pPr>
              <w:pStyle w:val="TableContents"/>
              <w:rPr/>
            </w:pPr>
            <w:r>
              <w:rPr/>
              <w:t>Registry that merely collects filings without enforcing mathematical checks and cross-verifications is digital warehouse, not fraud-prevention system.</w:t>
            </w:r>
          </w:p>
        </w:tc>
      </w:tr>
      <w:tr>
        <w:trPr>
          <w:cantSplit/>
        </w:trPr>
        <w:tc>
          <w:tcPr>
            <w:tcW w:w="481" w:type="dxa"/>
            <w:tcBorders>
              <w:start w:val="single" w:sz="4" w:space="0" w:color="000000"/>
              <w:bottom w:val="single" w:sz="4" w:space="0" w:color="000000"/>
            </w:tcBorders>
            <w:vAlign w:val="center"/>
          </w:tcPr>
          <w:p>
            <w:pPr>
              <w:pStyle w:val="TableContents"/>
              <w:rPr/>
            </w:pPr>
            <w:r>
              <w:rPr/>
              <w:t>184</w:t>
            </w:r>
          </w:p>
        </w:tc>
        <w:tc>
          <w:tcPr>
            <w:tcW w:w="985" w:type="dxa"/>
            <w:tcBorders>
              <w:start w:val="single" w:sz="4" w:space="0" w:color="000000"/>
              <w:bottom w:val="single" w:sz="4" w:space="0" w:color="000000"/>
            </w:tcBorders>
            <w:vAlign w:val="center"/>
          </w:tcPr>
          <w:p>
            <w:pPr>
              <w:pStyle w:val="TableContents"/>
              <w:rPr/>
            </w:pPr>
            <w:r>
              <w:rPr/>
              <w:t>68</w:t>
            </w:r>
          </w:p>
        </w:tc>
        <w:tc>
          <w:tcPr>
            <w:tcW w:w="1597" w:type="dxa"/>
            <w:tcBorders>
              <w:start w:val="single" w:sz="4" w:space="0" w:color="000000"/>
              <w:bottom w:val="single" w:sz="4" w:space="0" w:color="000000"/>
            </w:tcBorders>
            <w:vAlign w:val="center"/>
          </w:tcPr>
          <w:p>
            <w:pPr>
              <w:pStyle w:val="TableContents"/>
              <w:rPr/>
            </w:pPr>
            <w:r>
              <w:rPr/>
              <w:t>Transition</w:t>
            </w:r>
          </w:p>
        </w:tc>
        <w:tc>
          <w:tcPr>
            <w:tcW w:w="3921" w:type="dxa"/>
            <w:tcBorders>
              <w:start w:val="single" w:sz="4" w:space="0" w:color="000000"/>
              <w:bottom w:val="single" w:sz="4" w:space="0" w:color="000000"/>
            </w:tcBorders>
            <w:vAlign w:val="center"/>
          </w:tcPr>
          <w:p>
            <w:pPr>
              <w:pStyle w:val="TableContents"/>
              <w:rPr/>
            </w:pPr>
            <w:r>
              <w:rPr/>
              <w:t>Repeal and savings - "Does this apply to the PIL WP 511/2021?"</w:t>
            </w:r>
          </w:p>
        </w:tc>
        <w:tc>
          <w:tcPr>
            <w:tcW w:w="4546" w:type="dxa"/>
            <w:tcBorders>
              <w:start w:val="single" w:sz="4" w:space="0" w:color="000000"/>
              <w:bottom w:val="single" w:sz="4" w:space="0" w:color="000000"/>
            </w:tcBorders>
            <w:vAlign w:val="center"/>
          </w:tcPr>
          <w:p>
            <w:pPr>
              <w:pStyle w:val="TableContents"/>
              <w:rPr/>
            </w:pPr>
            <w:r>
              <w:rPr/>
              <w:t>Clarify: All pending proceedings shall continue under repealed Acts as if Act had not been enacted.</w:t>
            </w:r>
          </w:p>
        </w:tc>
        <w:tc>
          <w:tcPr>
            <w:tcW w:w="4402" w:type="dxa"/>
            <w:tcBorders>
              <w:start w:val="single" w:sz="4" w:space="0" w:color="000000"/>
              <w:bottom w:val="single" w:sz="4" w:space="0" w:color="000000"/>
              <w:end w:val="single" w:sz="4" w:space="0" w:color="000000"/>
            </w:tcBorders>
            <w:vAlign w:val="center"/>
          </w:tcPr>
          <w:p>
            <w:pPr>
              <w:pStyle w:val="TableContents"/>
              <w:rPr/>
            </w:pPr>
            <w:r>
              <w:rPr/>
              <w:t>Clarity needed on pending litigation.</w:t>
            </w:r>
          </w:p>
        </w:tc>
      </w:tr>
      <w:tr>
        <w:trPr>
          <w:cantSplit/>
        </w:trPr>
        <w:tc>
          <w:tcPr>
            <w:tcW w:w="481" w:type="dxa"/>
            <w:tcBorders>
              <w:start w:val="single" w:sz="4" w:space="0" w:color="000000"/>
              <w:bottom w:val="single" w:sz="4" w:space="0" w:color="000000"/>
            </w:tcBorders>
            <w:vAlign w:val="center"/>
          </w:tcPr>
          <w:p>
            <w:pPr>
              <w:pStyle w:val="TableContents"/>
              <w:rPr/>
            </w:pPr>
            <w:r>
              <w:rPr/>
              <w:t>185</w:t>
            </w:r>
          </w:p>
        </w:tc>
        <w:tc>
          <w:tcPr>
            <w:tcW w:w="985" w:type="dxa"/>
            <w:tcBorders>
              <w:start w:val="single" w:sz="4" w:space="0" w:color="000000"/>
              <w:bottom w:val="single" w:sz="4" w:space="0" w:color="000000"/>
            </w:tcBorders>
            <w:vAlign w:val="center"/>
          </w:tcPr>
          <w:p>
            <w:pPr>
              <w:pStyle w:val="TableContents"/>
              <w:rPr/>
            </w:pPr>
            <w:r>
              <w:rPr/>
              <w:t>Various</w:t>
            </w:r>
          </w:p>
        </w:tc>
        <w:tc>
          <w:tcPr>
            <w:tcW w:w="1597" w:type="dxa"/>
            <w:tcBorders>
              <w:start w:val="single" w:sz="4" w:space="0" w:color="000000"/>
              <w:bottom w:val="single" w:sz="4" w:space="0" w:color="000000"/>
            </w:tcBorders>
            <w:vAlign w:val="center"/>
          </w:tcPr>
          <w:p>
            <w:pPr>
              <w:pStyle w:val="TableContents"/>
              <w:rPr/>
            </w:pPr>
            <w:r>
              <w:rPr/>
              <w:t>RERA/Cross-Verification</w:t>
            </w:r>
          </w:p>
        </w:tc>
        <w:tc>
          <w:tcPr>
            <w:tcW w:w="3921" w:type="dxa"/>
            <w:tcBorders>
              <w:start w:val="single" w:sz="4" w:space="0" w:color="000000"/>
              <w:bottom w:val="single" w:sz="4" w:space="0" w:color="000000"/>
            </w:tcBorders>
            <w:vAlign w:val="center"/>
          </w:tcPr>
          <w:p>
            <w:pPr>
              <w:pStyle w:val="TableContents"/>
              <w:rPr/>
            </w:pPr>
            <w:r>
              <w:rPr/>
              <w:t>No cross-verification between RERA and KAOMA documents. Promoter can submit different versions of same document to RERA and KAOMA.</w:t>
            </w:r>
          </w:p>
        </w:tc>
        <w:tc>
          <w:tcPr>
            <w:tcW w:w="4546" w:type="dxa"/>
            <w:tcBorders>
              <w:start w:val="single" w:sz="4" w:space="0" w:color="000000"/>
              <w:bottom w:val="single" w:sz="4" w:space="0" w:color="000000"/>
            </w:tcBorders>
            <w:vAlign w:val="center"/>
          </w:tcPr>
          <w:p>
            <w:pPr>
              <w:pStyle w:val="TableContents"/>
              <w:rPr/>
            </w:pPr>
            <w:r>
              <w:rPr/>
              <w:t>Add Section 13A: CA shall obtain certified copies of all RERA documents for same project; compare declaration with RERA documents; record discrepancies; notify promoter and association; require explanation; if unsatisfactory, refuse recording.</w:t>
            </w:r>
          </w:p>
        </w:tc>
        <w:tc>
          <w:tcPr>
            <w:tcW w:w="4402" w:type="dxa"/>
            <w:tcBorders>
              <w:start w:val="single" w:sz="4" w:space="0" w:color="000000"/>
              <w:bottom w:val="single" w:sz="4" w:space="0" w:color="000000"/>
              <w:end w:val="single" w:sz="4" w:space="0" w:color="000000"/>
            </w:tcBorders>
            <w:vAlign w:val="center"/>
          </w:tcPr>
          <w:p>
            <w:pPr>
              <w:pStyle w:val="TableContents"/>
              <w:rPr/>
            </w:pPr>
            <w:r>
              <w:rPr/>
              <w:t>Without cross-verification, no one detects if entirely different documents submitted. Promoter can exploit to manipulate areas, UDI, common areas.</w:t>
            </w:r>
          </w:p>
        </w:tc>
      </w:tr>
      <w:tr>
        <w:trPr>
          <w:cantSplit/>
        </w:trPr>
        <w:tc>
          <w:tcPr>
            <w:tcW w:w="481" w:type="dxa"/>
            <w:tcBorders>
              <w:start w:val="single" w:sz="4" w:space="0" w:color="000000"/>
              <w:bottom w:val="single" w:sz="4" w:space="0" w:color="000000"/>
            </w:tcBorders>
            <w:vAlign w:val="center"/>
          </w:tcPr>
          <w:p>
            <w:pPr>
              <w:pStyle w:val="TableContents"/>
              <w:rPr/>
            </w:pPr>
            <w:r>
              <w:rPr/>
              <w:t>186</w:t>
            </w:r>
          </w:p>
        </w:tc>
        <w:tc>
          <w:tcPr>
            <w:tcW w:w="985" w:type="dxa"/>
            <w:tcBorders>
              <w:start w:val="single" w:sz="4" w:space="0" w:color="000000"/>
              <w:bottom w:val="single" w:sz="4" w:space="0" w:color="000000"/>
            </w:tcBorders>
            <w:vAlign w:val="center"/>
          </w:tcPr>
          <w:p>
            <w:pPr>
              <w:pStyle w:val="TableContents"/>
              <w:rPr/>
            </w:pPr>
            <w:r>
              <w:rPr/>
              <w:t>Various</w:t>
            </w:r>
          </w:p>
        </w:tc>
        <w:tc>
          <w:tcPr>
            <w:tcW w:w="1597" w:type="dxa"/>
            <w:tcBorders>
              <w:start w:val="single" w:sz="4" w:space="0" w:color="000000"/>
              <w:bottom w:val="single" w:sz="4" w:space="0" w:color="000000"/>
            </w:tcBorders>
            <w:vAlign w:val="center"/>
          </w:tcPr>
          <w:p>
            <w:pPr>
              <w:pStyle w:val="TableContents"/>
              <w:rPr/>
            </w:pPr>
            <w:r>
              <w:rPr/>
              <w:t>RERA/Cross-Verification</w:t>
            </w:r>
          </w:p>
        </w:tc>
        <w:tc>
          <w:tcPr>
            <w:tcW w:w="3921" w:type="dxa"/>
            <w:tcBorders>
              <w:start w:val="single" w:sz="4" w:space="0" w:color="000000"/>
              <w:bottom w:val="single" w:sz="4" w:space="0" w:color="000000"/>
            </w:tcBorders>
            <w:vAlign w:val="center"/>
          </w:tcPr>
          <w:p>
            <w:pPr>
              <w:pStyle w:val="TableContents"/>
              <w:rPr/>
            </w:pPr>
            <w:r>
              <w:rPr/>
              <w:t>Penalty for submitting different documents to RERA and KAOMA - none.</w:t>
            </w:r>
          </w:p>
        </w:tc>
        <w:tc>
          <w:tcPr>
            <w:tcW w:w="4546" w:type="dxa"/>
            <w:tcBorders>
              <w:start w:val="single" w:sz="4" w:space="0" w:color="000000"/>
              <w:bottom w:val="single" w:sz="4" w:space="0" w:color="000000"/>
            </w:tcBorders>
            <w:vAlign w:val="center"/>
          </w:tcPr>
          <w:p>
            <w:pPr>
              <w:pStyle w:val="TableContents"/>
              <w:rPr/>
            </w:pPr>
            <w:r>
              <w:rPr/>
              <w:t>Add: "Where any document submitted to CA is materially different from document submitted to RERA, promoter or association liable to penalty of up to ₹10,00,000 for each discrepancy. CA may direct rectification. In case of deliberate fraud, refer for prosecution under BNS."</w:t>
            </w:r>
          </w:p>
        </w:tc>
        <w:tc>
          <w:tcPr>
            <w:tcW w:w="4402" w:type="dxa"/>
            <w:tcBorders>
              <w:start w:val="single" w:sz="4" w:space="0" w:color="000000"/>
              <w:bottom w:val="single" w:sz="4" w:space="0" w:color="000000"/>
              <w:end w:val="single" w:sz="4" w:space="0" w:color="000000"/>
            </w:tcBorders>
            <w:vAlign w:val="center"/>
          </w:tcPr>
          <w:p>
            <w:pPr>
              <w:pStyle w:val="TableContents"/>
              <w:rPr/>
            </w:pPr>
            <w:r>
              <w:rPr/>
              <w:t>Deterrent against fraud.</w:t>
            </w:r>
          </w:p>
        </w:tc>
      </w:tr>
      <w:tr>
        <w:trPr>
          <w:cantSplit/>
        </w:trPr>
        <w:tc>
          <w:tcPr>
            <w:tcW w:w="481" w:type="dxa"/>
            <w:tcBorders>
              <w:start w:val="single" w:sz="4" w:space="0" w:color="000000"/>
              <w:bottom w:val="single" w:sz="4" w:space="0" w:color="000000"/>
            </w:tcBorders>
            <w:vAlign w:val="center"/>
          </w:tcPr>
          <w:p>
            <w:pPr>
              <w:pStyle w:val="TableContents"/>
              <w:rPr/>
            </w:pPr>
            <w:r>
              <w:rPr/>
              <w:t>187</w:t>
            </w:r>
          </w:p>
        </w:tc>
        <w:tc>
          <w:tcPr>
            <w:tcW w:w="985" w:type="dxa"/>
            <w:tcBorders>
              <w:start w:val="single" w:sz="4" w:space="0" w:color="000000"/>
              <w:bottom w:val="single" w:sz="4" w:space="0" w:color="000000"/>
            </w:tcBorders>
            <w:vAlign w:val="center"/>
          </w:tcPr>
          <w:p>
            <w:pPr>
              <w:pStyle w:val="TableContents"/>
              <w:rPr/>
            </w:pPr>
            <w:r>
              <w:rPr/>
              <w:t>Various</w:t>
            </w:r>
          </w:p>
        </w:tc>
        <w:tc>
          <w:tcPr>
            <w:tcW w:w="1597" w:type="dxa"/>
            <w:tcBorders>
              <w:start w:val="single" w:sz="4" w:space="0" w:color="000000"/>
              <w:bottom w:val="single" w:sz="4" w:space="0" w:color="000000"/>
            </w:tcBorders>
            <w:vAlign w:val="center"/>
          </w:tcPr>
          <w:p>
            <w:pPr>
              <w:pStyle w:val="TableContents"/>
              <w:rPr/>
            </w:pPr>
            <w:r>
              <w:rPr/>
              <w:t>RERA/Cross-Verification</w:t>
            </w:r>
          </w:p>
        </w:tc>
        <w:tc>
          <w:tcPr>
            <w:tcW w:w="3921" w:type="dxa"/>
            <w:tcBorders>
              <w:start w:val="single" w:sz="4" w:space="0" w:color="000000"/>
              <w:bottom w:val="single" w:sz="4" w:space="0" w:color="000000"/>
            </w:tcBorders>
            <w:vAlign w:val="center"/>
          </w:tcPr>
          <w:p>
            <w:pPr>
              <w:pStyle w:val="TableContents"/>
              <w:rPr/>
            </w:pPr>
            <w:r>
              <w:rPr/>
              <w:t>No RERA-KAOMA Coordination Committee.</w:t>
            </w:r>
          </w:p>
        </w:tc>
        <w:tc>
          <w:tcPr>
            <w:tcW w:w="4546" w:type="dxa"/>
            <w:tcBorders>
              <w:start w:val="single" w:sz="4" w:space="0" w:color="000000"/>
              <w:bottom w:val="single" w:sz="4" w:space="0" w:color="000000"/>
            </w:tcBorders>
            <w:vAlign w:val="center"/>
          </w:tcPr>
          <w:p>
            <w:pPr>
              <w:pStyle w:val="TableContents"/>
              <w:rPr/>
            </w:pPr>
            <w:r>
              <w:rPr/>
              <w:t>Add Section 69A: Establish Coordination Committee comprising RERA Chairperson, CA, Secretaries of Housing and Urban Development, and two apartment owner representatives. Committee to develop procedures for document sharing, ensure consistency, address discrepancies, submit annual report.</w:t>
            </w:r>
          </w:p>
        </w:tc>
        <w:tc>
          <w:tcPr>
            <w:tcW w:w="4402" w:type="dxa"/>
            <w:tcBorders>
              <w:start w:val="single" w:sz="4" w:space="0" w:color="000000"/>
              <w:bottom w:val="single" w:sz="4" w:space="0" w:color="000000"/>
              <w:end w:val="single" w:sz="4" w:space="0" w:color="000000"/>
            </w:tcBorders>
            <w:vAlign w:val="center"/>
          </w:tcPr>
          <w:p>
            <w:pPr>
              <w:pStyle w:val="TableContents"/>
              <w:rPr/>
            </w:pPr>
            <w:r>
              <w:rPr/>
              <w:t>Ensures ongoing consistency between the two systems.</w:t>
            </w:r>
          </w:p>
        </w:tc>
      </w:tr>
      <w:tr>
        <w:trPr>
          <w:cantSplit/>
        </w:trPr>
        <w:tc>
          <w:tcPr>
            <w:tcW w:w="481" w:type="dxa"/>
            <w:tcBorders>
              <w:start w:val="single" w:sz="4" w:space="0" w:color="000000"/>
              <w:bottom w:val="single" w:sz="4" w:space="0" w:color="000000"/>
            </w:tcBorders>
            <w:vAlign w:val="center"/>
          </w:tcPr>
          <w:p>
            <w:pPr>
              <w:pStyle w:val="TableContents"/>
              <w:rPr/>
            </w:pPr>
            <w:r>
              <w:rPr/>
              <w:t>188</w:t>
            </w:r>
          </w:p>
        </w:tc>
        <w:tc>
          <w:tcPr>
            <w:tcW w:w="985" w:type="dxa"/>
            <w:tcBorders>
              <w:start w:val="single" w:sz="4" w:space="0" w:color="000000"/>
              <w:bottom w:val="single" w:sz="4" w:space="0" w:color="000000"/>
            </w:tcBorders>
            <w:vAlign w:val="center"/>
          </w:tcPr>
          <w:p>
            <w:pPr>
              <w:pStyle w:val="TableContents"/>
              <w:rPr/>
            </w:pPr>
            <w:r>
              <w:rPr/>
              <w:t>Various</w:t>
            </w:r>
          </w:p>
        </w:tc>
        <w:tc>
          <w:tcPr>
            <w:tcW w:w="1597" w:type="dxa"/>
            <w:tcBorders>
              <w:start w:val="single" w:sz="4" w:space="0" w:color="000000"/>
              <w:bottom w:val="single" w:sz="4" w:space="0" w:color="000000"/>
            </w:tcBorders>
            <w:vAlign w:val="center"/>
          </w:tcPr>
          <w:p>
            <w:pPr>
              <w:pStyle w:val="TableContents"/>
              <w:rPr/>
            </w:pPr>
            <w:r>
              <w:rPr/>
              <w:t>RERA/Cross-Verification</w:t>
            </w:r>
          </w:p>
        </w:tc>
        <w:tc>
          <w:tcPr>
            <w:tcW w:w="3921" w:type="dxa"/>
            <w:tcBorders>
              <w:start w:val="single" w:sz="4" w:space="0" w:color="000000"/>
              <w:bottom w:val="single" w:sz="4" w:space="0" w:color="000000"/>
            </w:tcBorders>
            <w:vAlign w:val="center"/>
          </w:tcPr>
          <w:p>
            <w:pPr>
              <w:pStyle w:val="TableContents"/>
              <w:rPr/>
            </w:pPr>
            <w:r>
              <w:rPr/>
              <w:t>CA has no direct access to RERA database.</w:t>
            </w:r>
          </w:p>
        </w:tc>
        <w:tc>
          <w:tcPr>
            <w:tcW w:w="4546" w:type="dxa"/>
            <w:tcBorders>
              <w:start w:val="single" w:sz="4" w:space="0" w:color="000000"/>
              <w:bottom w:val="single" w:sz="4" w:space="0" w:color="000000"/>
            </w:tcBorders>
            <w:vAlign w:val="center"/>
          </w:tcPr>
          <w:p>
            <w:pPr>
              <w:pStyle w:val="TableContents"/>
              <w:rPr/>
            </w:pPr>
            <w:r>
              <w:rPr/>
              <w:t>Add Section 41(1A): "The Competent Authority shall have direct access to the online portal of the Real Estate Regulatory Authority for the purpose of obtaining documents and information relating to any registered project in the State of Karnataka."</w:t>
            </w:r>
          </w:p>
        </w:tc>
        <w:tc>
          <w:tcPr>
            <w:tcW w:w="4402" w:type="dxa"/>
            <w:tcBorders>
              <w:start w:val="single" w:sz="4" w:space="0" w:color="000000"/>
              <w:bottom w:val="single" w:sz="4" w:space="0" w:color="000000"/>
              <w:end w:val="single" w:sz="4" w:space="0" w:color="000000"/>
            </w:tcBorders>
            <w:vAlign w:val="center"/>
          </w:tcPr>
          <w:p>
            <w:pPr>
              <w:pStyle w:val="TableContents"/>
              <w:rPr/>
            </w:pPr>
            <w:r>
              <w:rPr/>
              <w:t>Enables cross-verification.</w:t>
            </w:r>
          </w:p>
        </w:tc>
      </w:tr>
      <w:tr>
        <w:trPr>
          <w:cantSplit/>
        </w:trPr>
        <w:tc>
          <w:tcPr>
            <w:tcW w:w="481" w:type="dxa"/>
            <w:tcBorders>
              <w:start w:val="single" w:sz="4" w:space="0" w:color="000000"/>
              <w:bottom w:val="single" w:sz="4" w:space="0" w:color="000000"/>
            </w:tcBorders>
            <w:vAlign w:val="center"/>
          </w:tcPr>
          <w:p>
            <w:pPr>
              <w:pStyle w:val="TableContents"/>
              <w:rPr/>
            </w:pPr>
            <w:r>
              <w:rPr/>
              <w:t>189</w:t>
            </w:r>
          </w:p>
        </w:tc>
        <w:tc>
          <w:tcPr>
            <w:tcW w:w="985" w:type="dxa"/>
            <w:tcBorders>
              <w:start w:val="single" w:sz="4" w:space="0" w:color="000000"/>
              <w:bottom w:val="single" w:sz="4" w:space="0" w:color="000000"/>
            </w:tcBorders>
            <w:vAlign w:val="center"/>
          </w:tcPr>
          <w:p>
            <w:pPr>
              <w:pStyle w:val="TableContents"/>
              <w:rPr/>
            </w:pPr>
            <w:r>
              <w:rPr/>
              <w:t>Various</w:t>
            </w:r>
          </w:p>
        </w:tc>
        <w:tc>
          <w:tcPr>
            <w:tcW w:w="1597" w:type="dxa"/>
            <w:tcBorders>
              <w:start w:val="single" w:sz="4" w:space="0" w:color="000000"/>
              <w:bottom w:val="single" w:sz="4" w:space="0" w:color="000000"/>
            </w:tcBorders>
            <w:vAlign w:val="center"/>
          </w:tcPr>
          <w:p>
            <w:pPr>
              <w:pStyle w:val="TableContents"/>
              <w:rPr/>
            </w:pPr>
            <w:r>
              <w:rPr/>
              <w:t>Electronic Voting/Virtual Meetings</w:t>
            </w:r>
          </w:p>
        </w:tc>
        <w:tc>
          <w:tcPr>
            <w:tcW w:w="3921" w:type="dxa"/>
            <w:tcBorders>
              <w:start w:val="single" w:sz="4" w:space="0" w:color="000000"/>
              <w:bottom w:val="single" w:sz="4" w:space="0" w:color="000000"/>
            </w:tcBorders>
            <w:vAlign w:val="center"/>
          </w:tcPr>
          <w:p>
            <w:pPr>
              <w:pStyle w:val="TableContents"/>
              <w:rPr/>
            </w:pPr>
            <w:r>
              <w:rPr/>
              <w:t>No provisions for electronic voting, virtual meetings, or remote participation anywhere in the Bill.</w:t>
            </w:r>
          </w:p>
        </w:tc>
        <w:tc>
          <w:tcPr>
            <w:tcW w:w="4546" w:type="dxa"/>
            <w:tcBorders>
              <w:start w:val="single" w:sz="4" w:space="0" w:color="000000"/>
              <w:bottom w:val="single" w:sz="4" w:space="0" w:color="000000"/>
            </w:tcBorders>
            <w:vAlign w:val="center"/>
          </w:tcPr>
          <w:p>
            <w:pPr>
              <w:pStyle w:val="TableContents"/>
              <w:rPr/>
            </w:pPr>
            <w:r>
              <w:rPr/>
              <w:t>Insert new definitions and sections: 36A - Electronic Voting and Virtual Meetings; amend Sections 31, 35, 50 to allow electronic voting and virtual participation.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A substantial percentage of apartment owners are NRIs or frequently travel. COVID-19 demonstrated feasibility of remote participation. Bill confers significant powers on Executive Committees, making it imperative that general body has effective oversight.</w:t>
            </w:r>
          </w:p>
        </w:tc>
      </w:tr>
      <w:tr>
        <w:trPr>
          <w:cantSplit/>
        </w:trPr>
        <w:tc>
          <w:tcPr>
            <w:tcW w:w="481" w:type="dxa"/>
            <w:tcBorders>
              <w:start w:val="single" w:sz="4" w:space="0" w:color="000000"/>
              <w:bottom w:val="single" w:sz="4" w:space="0" w:color="000000"/>
            </w:tcBorders>
            <w:vAlign w:val="center"/>
          </w:tcPr>
          <w:p>
            <w:pPr>
              <w:pStyle w:val="TableContents"/>
              <w:rPr/>
            </w:pPr>
            <w:r>
              <w:rPr/>
              <w:t>190</w:t>
            </w:r>
          </w:p>
        </w:tc>
        <w:tc>
          <w:tcPr>
            <w:tcW w:w="985" w:type="dxa"/>
            <w:tcBorders>
              <w:start w:val="single" w:sz="4" w:space="0" w:color="000000"/>
              <w:bottom w:val="single" w:sz="4" w:space="0" w:color="000000"/>
            </w:tcBorders>
            <w:vAlign w:val="center"/>
          </w:tcPr>
          <w:p>
            <w:pPr>
              <w:pStyle w:val="TableContents"/>
              <w:rPr/>
            </w:pPr>
            <w:r>
              <w:rPr/>
              <w:t>Various</w:t>
            </w:r>
          </w:p>
        </w:tc>
        <w:tc>
          <w:tcPr>
            <w:tcW w:w="1597" w:type="dxa"/>
            <w:tcBorders>
              <w:start w:val="single" w:sz="4" w:space="0" w:color="000000"/>
              <w:bottom w:val="single" w:sz="4" w:space="0" w:color="000000"/>
            </w:tcBorders>
            <w:vAlign w:val="center"/>
          </w:tcPr>
          <w:p>
            <w:pPr>
              <w:pStyle w:val="TableContents"/>
              <w:rPr/>
            </w:pPr>
            <w:r>
              <w:rPr/>
              <w:t>Migration</w:t>
            </w:r>
          </w:p>
        </w:tc>
        <w:tc>
          <w:tcPr>
            <w:tcW w:w="3921" w:type="dxa"/>
            <w:tcBorders>
              <w:start w:val="single" w:sz="4" w:space="0" w:color="000000"/>
              <w:bottom w:val="single" w:sz="4" w:space="0" w:color="000000"/>
            </w:tcBorders>
            <w:vAlign w:val="center"/>
          </w:tcPr>
          <w:p>
            <w:pPr>
              <w:pStyle w:val="TableContents"/>
              <w:rPr/>
            </w:pPr>
            <w:r>
              <w:rPr/>
              <w:t>Migration from KAOA, KCSA, KSRA - multiple practical difficulties including bank account transfer, contracts, insurance, tax registrations, property tax records, pending litigation, employees, funds, charges, etc.</w:t>
            </w:r>
          </w:p>
        </w:tc>
        <w:tc>
          <w:tcPr>
            <w:tcW w:w="4546" w:type="dxa"/>
            <w:tcBorders>
              <w:start w:val="single" w:sz="4" w:space="0" w:color="000000"/>
              <w:bottom w:val="single" w:sz="4" w:space="0" w:color="000000"/>
            </w:tcBorders>
            <w:vAlign w:val="center"/>
          </w:tcPr>
          <w:p>
            <w:pPr>
              <w:pStyle w:val="TableContents"/>
              <w:rPr/>
            </w:pPr>
            <w:r>
              <w:rPr/>
              <w:t>Provide comprehensive transition framework with: (a) automatic succession provisions; (b) clear timelines; (c) dispute resolution mechanism for migration issues; (d) stamp duty exemptions for corrective deeds.</w:t>
            </w:r>
          </w:p>
        </w:tc>
        <w:tc>
          <w:tcPr>
            <w:tcW w:w="4402" w:type="dxa"/>
            <w:tcBorders>
              <w:start w:val="single" w:sz="4" w:space="0" w:color="000000"/>
              <w:bottom w:val="single" w:sz="4" w:space="0" w:color="000000"/>
              <w:end w:val="single" w:sz="4" w:space="0" w:color="000000"/>
            </w:tcBorders>
            <w:vAlign w:val="center"/>
          </w:tcPr>
          <w:p>
            <w:pPr>
              <w:pStyle w:val="TableContents"/>
              <w:rPr/>
            </w:pPr>
            <w:r>
              <w:rPr/>
              <w:t>Migration involves complex practical difficulties. Without comprehensive transition framework, migration will fail.</w:t>
            </w:r>
          </w:p>
        </w:tc>
      </w:tr>
      <w:tr>
        <w:trPr>
          <w:cantSplit/>
        </w:trPr>
        <w:tc>
          <w:tcPr>
            <w:tcW w:w="481" w:type="dxa"/>
            <w:tcBorders>
              <w:start w:val="single" w:sz="4" w:space="0" w:color="000000"/>
              <w:bottom w:val="single" w:sz="4" w:space="0" w:color="000000"/>
            </w:tcBorders>
            <w:vAlign w:val="center"/>
          </w:tcPr>
          <w:p>
            <w:pPr>
              <w:pStyle w:val="TableContents"/>
              <w:rPr/>
            </w:pPr>
            <w:r>
              <w:rPr/>
              <w:t>191</w:t>
            </w:r>
          </w:p>
        </w:tc>
        <w:tc>
          <w:tcPr>
            <w:tcW w:w="985" w:type="dxa"/>
            <w:tcBorders>
              <w:start w:val="single" w:sz="4" w:space="0" w:color="000000"/>
              <w:bottom w:val="single" w:sz="4" w:space="0" w:color="000000"/>
            </w:tcBorders>
            <w:vAlign w:val="center"/>
          </w:tcPr>
          <w:p>
            <w:pPr>
              <w:pStyle w:val="TableContents"/>
              <w:rPr/>
            </w:pPr>
            <w:r>
              <w:rPr/>
              <w:t>Various</w:t>
            </w:r>
          </w:p>
        </w:tc>
        <w:tc>
          <w:tcPr>
            <w:tcW w:w="1597" w:type="dxa"/>
            <w:tcBorders>
              <w:start w:val="single" w:sz="4" w:space="0" w:color="000000"/>
              <w:bottom w:val="single" w:sz="4" w:space="0" w:color="000000"/>
            </w:tcBorders>
            <w:vAlign w:val="center"/>
          </w:tcPr>
          <w:p>
            <w:pPr>
              <w:pStyle w:val="TableContents"/>
              <w:rPr/>
            </w:pPr>
            <w:r>
              <w:rPr/>
              <w:t>Migration</w:t>
            </w:r>
          </w:p>
        </w:tc>
        <w:tc>
          <w:tcPr>
            <w:tcW w:w="3921" w:type="dxa"/>
            <w:tcBorders>
              <w:start w:val="single" w:sz="4" w:space="0" w:color="000000"/>
              <w:bottom w:val="single" w:sz="4" w:space="0" w:color="000000"/>
            </w:tcBorders>
            <w:vAlign w:val="center"/>
          </w:tcPr>
          <w:p>
            <w:pPr>
              <w:pStyle w:val="TableContents"/>
              <w:rPr/>
            </w:pPr>
            <w:r>
              <w:rPr/>
              <w:t>Builder irregularities (abandoned midway, violated plans, added floors/phases, sold common areas) make migration nearly impossible.</w:t>
            </w:r>
          </w:p>
        </w:tc>
        <w:tc>
          <w:tcPr>
            <w:tcW w:w="4546" w:type="dxa"/>
            <w:tcBorders>
              <w:start w:val="single" w:sz="4" w:space="0" w:color="000000"/>
              <w:bottom w:val="single" w:sz="4" w:space="0" w:color="000000"/>
            </w:tcBorders>
            <w:vAlign w:val="center"/>
          </w:tcPr>
          <w:p>
            <w:pPr>
              <w:pStyle w:val="TableContents"/>
              <w:rPr/>
            </w:pPr>
            <w:r>
              <w:rPr/>
              <w:t>Provide special mechanism for irregular cases: (a) apply to CA for permission; (b) file civil suit; (c) approach RERA; (d) criminal complaint; (e) court-appointed commissioner for UDI calculation.</w:t>
            </w:r>
          </w:p>
        </w:tc>
        <w:tc>
          <w:tcPr>
            <w:tcW w:w="4402" w:type="dxa"/>
            <w:tcBorders>
              <w:start w:val="single" w:sz="4" w:space="0" w:color="000000"/>
              <w:bottom w:val="single" w:sz="4" w:space="0" w:color="000000"/>
              <w:end w:val="single" w:sz="4" w:space="0" w:color="000000"/>
            </w:tcBorders>
            <w:vAlign w:val="center"/>
          </w:tcPr>
          <w:p>
            <w:pPr>
              <w:pStyle w:val="TableContents"/>
              <w:rPr/>
            </w:pPr>
            <w:r>
              <w:rPr/>
              <w:t>Without special mechanism, projects with builder irregularities cannot migrate.</w:t>
            </w:r>
          </w:p>
        </w:tc>
      </w:tr>
      <w:tr>
        <w:trPr>
          <w:cantSplit/>
        </w:trPr>
        <w:tc>
          <w:tcPr>
            <w:tcW w:w="481" w:type="dxa"/>
            <w:tcBorders>
              <w:start w:val="single" w:sz="4" w:space="0" w:color="000000"/>
              <w:bottom w:val="single" w:sz="4" w:space="0" w:color="000000"/>
            </w:tcBorders>
            <w:vAlign w:val="center"/>
          </w:tcPr>
          <w:p>
            <w:pPr>
              <w:pStyle w:val="TableContents"/>
              <w:rPr/>
            </w:pPr>
            <w:r>
              <w:rPr/>
              <w:t>192</w:t>
            </w:r>
          </w:p>
        </w:tc>
        <w:tc>
          <w:tcPr>
            <w:tcW w:w="985" w:type="dxa"/>
            <w:tcBorders>
              <w:start w:val="single" w:sz="4" w:space="0" w:color="000000"/>
              <w:bottom w:val="single" w:sz="4" w:space="0" w:color="000000"/>
            </w:tcBorders>
            <w:vAlign w:val="center"/>
          </w:tcPr>
          <w:p>
            <w:pPr>
              <w:pStyle w:val="TableContents"/>
              <w:rPr/>
            </w:pPr>
            <w:r>
              <w:rPr/>
              <w:t>Various</w:t>
            </w:r>
          </w:p>
        </w:tc>
        <w:tc>
          <w:tcPr>
            <w:tcW w:w="1597" w:type="dxa"/>
            <w:tcBorders>
              <w:start w:val="single" w:sz="4" w:space="0" w:color="000000"/>
              <w:bottom w:val="single" w:sz="4" w:space="0" w:color="000000"/>
            </w:tcBorders>
            <w:vAlign w:val="center"/>
          </w:tcPr>
          <w:p>
            <w:pPr>
              <w:pStyle w:val="TableContents"/>
              <w:rPr/>
            </w:pPr>
            <w:r>
              <w:rPr/>
              <w:t>Applicability</w:t>
            </w:r>
          </w:p>
        </w:tc>
        <w:tc>
          <w:tcPr>
            <w:tcW w:w="3921" w:type="dxa"/>
            <w:tcBorders>
              <w:start w:val="single" w:sz="4" w:space="0" w:color="000000"/>
              <w:bottom w:val="single" w:sz="4" w:space="0" w:color="000000"/>
            </w:tcBorders>
            <w:vAlign w:val="center"/>
          </w:tcPr>
          <w:p>
            <w:pPr>
              <w:pStyle w:val="TableContents"/>
              <w:rPr/>
            </w:pPr>
            <w:r>
              <w:rPr/>
              <w:t>CA's control cycle is lifelong (formation, declaration, structural stability, redevelopment). RERA's accountability ends at handover.</w:t>
            </w:r>
          </w:p>
        </w:tc>
        <w:tc>
          <w:tcPr>
            <w:tcW w:w="4546" w:type="dxa"/>
            <w:tcBorders>
              <w:start w:val="single" w:sz="4" w:space="0" w:color="000000"/>
              <w:bottom w:val="single" w:sz="4" w:space="0" w:color="000000"/>
            </w:tcBorders>
            <w:vAlign w:val="center"/>
          </w:tcPr>
          <w:p>
            <w:pPr>
              <w:pStyle w:val="TableContents"/>
              <w:rPr/>
            </w:pPr>
            <w:r>
              <w:rPr/>
              <w:t>KAOMA must have independent verification powers and complete set of verified documents.</w:t>
            </w:r>
          </w:p>
        </w:tc>
        <w:tc>
          <w:tcPr>
            <w:tcW w:w="4402" w:type="dxa"/>
            <w:tcBorders>
              <w:start w:val="single" w:sz="4" w:space="0" w:color="000000"/>
              <w:bottom w:val="single" w:sz="4" w:space="0" w:color="000000"/>
              <w:end w:val="single" w:sz="4" w:space="0" w:color="000000"/>
            </w:tcBorders>
            <w:vAlign w:val="center"/>
          </w:tcPr>
          <w:p>
            <w:pPr>
              <w:pStyle w:val="TableContents"/>
              <w:rPr/>
            </w:pPr>
            <w:r>
              <w:rPr/>
              <w:t>RERA documents may be archived, purged, or inaccessible. KAOMA cannot rely on presumption that RERA has copies.</w:t>
            </w:r>
          </w:p>
        </w:tc>
      </w:tr>
      <w:tr>
        <w:trPr>
          <w:cantSplit/>
        </w:trPr>
        <w:tc>
          <w:tcPr>
            <w:tcW w:w="481" w:type="dxa"/>
            <w:tcBorders>
              <w:start w:val="single" w:sz="4" w:space="0" w:color="000000"/>
              <w:bottom w:val="single" w:sz="4" w:space="0" w:color="000000"/>
            </w:tcBorders>
            <w:vAlign w:val="center"/>
          </w:tcPr>
          <w:p>
            <w:pPr>
              <w:pStyle w:val="TableContents"/>
              <w:rPr/>
            </w:pPr>
            <w:r>
              <w:rPr/>
              <w:t>193</w:t>
            </w:r>
          </w:p>
        </w:tc>
        <w:tc>
          <w:tcPr>
            <w:tcW w:w="985" w:type="dxa"/>
            <w:tcBorders>
              <w:start w:val="single" w:sz="4" w:space="0" w:color="000000"/>
              <w:bottom w:val="single" w:sz="4" w:space="0" w:color="000000"/>
            </w:tcBorders>
            <w:vAlign w:val="center"/>
          </w:tcPr>
          <w:p>
            <w:pPr>
              <w:pStyle w:val="TableContents"/>
              <w:rPr/>
            </w:pPr>
            <w:r>
              <w:rPr/>
              <w:t>Various</w:t>
            </w:r>
          </w:p>
        </w:tc>
        <w:tc>
          <w:tcPr>
            <w:tcW w:w="1597" w:type="dxa"/>
            <w:tcBorders>
              <w:start w:val="single" w:sz="4" w:space="0" w:color="000000"/>
              <w:bottom w:val="single" w:sz="4" w:space="0" w:color="000000"/>
            </w:tcBorders>
            <w:vAlign w:val="center"/>
          </w:tcPr>
          <w:p>
            <w:pPr>
              <w:pStyle w:val="TableContents"/>
              <w:rPr/>
            </w:pPr>
            <w:r>
              <w:rPr/>
              <w:t>Governance</w:t>
            </w:r>
          </w:p>
        </w:tc>
        <w:tc>
          <w:tcPr>
            <w:tcW w:w="3921" w:type="dxa"/>
            <w:tcBorders>
              <w:start w:val="single" w:sz="4" w:space="0" w:color="000000"/>
              <w:bottom w:val="single" w:sz="4" w:space="0" w:color="000000"/>
            </w:tcBorders>
            <w:vAlign w:val="center"/>
          </w:tcPr>
          <w:p>
            <w:pPr>
              <w:pStyle w:val="TableContents"/>
              <w:rPr/>
            </w:pPr>
            <w:r>
              <w:rPr/>
              <w:t>No annual inspection or audit of associations by CA.</w:t>
            </w:r>
          </w:p>
        </w:tc>
        <w:tc>
          <w:tcPr>
            <w:tcW w:w="4546" w:type="dxa"/>
            <w:tcBorders>
              <w:start w:val="single" w:sz="4" w:space="0" w:color="000000"/>
              <w:bottom w:val="single" w:sz="4" w:space="0" w:color="000000"/>
            </w:tcBorders>
            <w:vAlign w:val="center"/>
          </w:tcPr>
          <w:p>
            <w:pPr>
              <w:pStyle w:val="TableContents"/>
              <w:rPr/>
            </w:pPr>
            <w:r>
              <w:rPr/>
              <w:t>Add Sections 41A and 41B: Annual inspection of each registered project; annual report to Government.</w:t>
            </w:r>
          </w:p>
        </w:tc>
        <w:tc>
          <w:tcPr>
            <w:tcW w:w="4402" w:type="dxa"/>
            <w:tcBorders>
              <w:start w:val="single" w:sz="4" w:space="0" w:color="000000"/>
              <w:bottom w:val="single" w:sz="4" w:space="0" w:color="000000"/>
              <w:end w:val="single" w:sz="4" w:space="0" w:color="000000"/>
            </w:tcBorders>
            <w:vAlign w:val="center"/>
          </w:tcPr>
          <w:p>
            <w:pPr>
              <w:pStyle w:val="TableContents"/>
              <w:rPr/>
            </w:pPr>
            <w:r>
              <w:rPr/>
              <w:t>Without proactive monitoring, CA only acts on complaints.</w:t>
            </w:r>
          </w:p>
        </w:tc>
      </w:tr>
      <w:tr>
        <w:trPr>
          <w:cantSplit/>
        </w:trPr>
        <w:tc>
          <w:tcPr>
            <w:tcW w:w="481" w:type="dxa"/>
            <w:tcBorders>
              <w:start w:val="single" w:sz="4" w:space="0" w:color="000000"/>
              <w:bottom w:val="single" w:sz="4" w:space="0" w:color="000000"/>
            </w:tcBorders>
            <w:vAlign w:val="center"/>
          </w:tcPr>
          <w:p>
            <w:pPr>
              <w:pStyle w:val="TableContents"/>
              <w:rPr/>
            </w:pPr>
            <w:r>
              <w:rPr/>
              <w:t>194</w:t>
            </w:r>
          </w:p>
        </w:tc>
        <w:tc>
          <w:tcPr>
            <w:tcW w:w="985" w:type="dxa"/>
            <w:tcBorders>
              <w:start w:val="single" w:sz="4" w:space="0" w:color="000000"/>
              <w:bottom w:val="single" w:sz="4" w:space="0" w:color="000000"/>
            </w:tcBorders>
            <w:vAlign w:val="center"/>
          </w:tcPr>
          <w:p>
            <w:pPr>
              <w:pStyle w:val="TableContents"/>
              <w:rPr/>
            </w:pPr>
            <w:r>
              <w:rPr/>
              <w:t>Various</w:t>
            </w:r>
          </w:p>
        </w:tc>
        <w:tc>
          <w:tcPr>
            <w:tcW w:w="1597" w:type="dxa"/>
            <w:tcBorders>
              <w:start w:val="single" w:sz="4" w:space="0" w:color="000000"/>
              <w:bottom w:val="single" w:sz="4" w:space="0" w:color="000000"/>
            </w:tcBorders>
            <w:vAlign w:val="center"/>
          </w:tcPr>
          <w:p>
            <w:pPr>
              <w:pStyle w:val="TableContents"/>
              <w:rPr/>
            </w:pPr>
            <w:r>
              <w:rPr/>
              <w:t>Financial</w:t>
            </w:r>
          </w:p>
        </w:tc>
        <w:tc>
          <w:tcPr>
            <w:tcW w:w="3921" w:type="dxa"/>
            <w:tcBorders>
              <w:start w:val="single" w:sz="4" w:space="0" w:color="000000"/>
              <w:bottom w:val="single" w:sz="4" w:space="0" w:color="000000"/>
            </w:tcBorders>
            <w:vAlign w:val="center"/>
          </w:tcPr>
          <w:p>
            <w:pPr>
              <w:pStyle w:val="TableContents"/>
              <w:rPr/>
            </w:pPr>
            <w:r>
              <w:rPr/>
              <w:t>No annual data reconciliation to detect discrepancies proactively.</w:t>
            </w:r>
          </w:p>
        </w:tc>
        <w:tc>
          <w:tcPr>
            <w:tcW w:w="4546" w:type="dxa"/>
            <w:tcBorders>
              <w:start w:val="single" w:sz="4" w:space="0" w:color="000000"/>
              <w:bottom w:val="single" w:sz="4" w:space="0" w:color="000000"/>
            </w:tcBorders>
            <w:vAlign w:val="center"/>
          </w:tcPr>
          <w:p>
            <w:pPr>
              <w:pStyle w:val="TableContents"/>
              <w:rPr/>
            </w:pPr>
            <w:r>
              <w:rPr/>
              <w:t>Add Section 41(m): "to conduct an annual data reconciliation exercise for every registered project, comparing financial returns with UDI ratios and super built-up area particulars."</w:t>
            </w:r>
          </w:p>
        </w:tc>
        <w:tc>
          <w:tcPr>
            <w:tcW w:w="4402" w:type="dxa"/>
            <w:tcBorders>
              <w:start w:val="single" w:sz="4" w:space="0" w:color="000000"/>
              <w:bottom w:val="single" w:sz="4" w:space="0" w:color="000000"/>
              <w:end w:val="single" w:sz="4" w:space="0" w:color="000000"/>
            </w:tcBorders>
            <w:vAlign w:val="center"/>
          </w:tcPr>
          <w:p>
            <w:pPr>
              <w:pStyle w:val="TableContents"/>
              <w:rPr/>
            </w:pPr>
            <w:r>
              <w:rPr/>
              <w:t>Detects discrepancies proactively.</w:t>
            </w:r>
          </w:p>
        </w:tc>
      </w:tr>
      <w:tr>
        <w:trPr>
          <w:cantSplit/>
        </w:trPr>
        <w:tc>
          <w:tcPr>
            <w:tcW w:w="481" w:type="dxa"/>
            <w:tcBorders>
              <w:start w:val="single" w:sz="4" w:space="0" w:color="000000"/>
              <w:bottom w:val="single" w:sz="4" w:space="0" w:color="000000"/>
            </w:tcBorders>
            <w:vAlign w:val="center"/>
          </w:tcPr>
          <w:p>
            <w:pPr>
              <w:pStyle w:val="TableContents"/>
              <w:rPr/>
            </w:pPr>
            <w:r>
              <w:rPr/>
              <w:t>195</w:t>
            </w:r>
          </w:p>
        </w:tc>
        <w:tc>
          <w:tcPr>
            <w:tcW w:w="985" w:type="dxa"/>
            <w:tcBorders>
              <w:start w:val="single" w:sz="4" w:space="0" w:color="000000"/>
              <w:bottom w:val="single" w:sz="4" w:space="0" w:color="000000"/>
            </w:tcBorders>
            <w:vAlign w:val="center"/>
          </w:tcPr>
          <w:p>
            <w:pPr>
              <w:pStyle w:val="TableContents"/>
              <w:rPr/>
            </w:pPr>
            <w:r>
              <w:rPr/>
              <w:t>Various</w:t>
            </w:r>
          </w:p>
        </w:tc>
        <w:tc>
          <w:tcPr>
            <w:tcW w:w="1597" w:type="dxa"/>
            <w:tcBorders>
              <w:start w:val="single" w:sz="4" w:space="0" w:color="000000"/>
              <w:bottom w:val="single" w:sz="4" w:space="0" w:color="000000"/>
            </w:tcBorders>
            <w:vAlign w:val="center"/>
          </w:tcPr>
          <w:p>
            <w:pPr>
              <w:pStyle w:val="TableContents"/>
              <w:rPr/>
            </w:pPr>
            <w:r>
              <w:rPr/>
              <w:t>Legal/UDI</w:t>
            </w:r>
          </w:p>
        </w:tc>
        <w:tc>
          <w:tcPr>
            <w:tcW w:w="3921" w:type="dxa"/>
            <w:tcBorders>
              <w:start w:val="single" w:sz="4" w:space="0" w:color="000000"/>
              <w:bottom w:val="single" w:sz="4" w:space="0" w:color="000000"/>
            </w:tcBorders>
            <w:vAlign w:val="center"/>
          </w:tcPr>
          <w:p>
            <w:pPr>
              <w:pStyle w:val="TableContents"/>
              <w:rPr/>
            </w:pPr>
            <w:r>
              <w:rPr/>
              <w:t>UDI calculation should be simple, not complex. Current formula adds zero value to governance; only adds litigation fodder.</w:t>
            </w:r>
          </w:p>
        </w:tc>
        <w:tc>
          <w:tcPr>
            <w:tcW w:w="4546" w:type="dxa"/>
            <w:tcBorders>
              <w:start w:val="single" w:sz="4" w:space="0" w:color="000000"/>
              <w:bottom w:val="single" w:sz="4" w:space="0" w:color="000000"/>
            </w:tcBorders>
            <w:vAlign w:val="center"/>
          </w:tcPr>
          <w:p>
            <w:pPr>
              <w:pStyle w:val="TableContents"/>
              <w:rPr/>
            </w:pPr>
            <w:r>
              <w:rPr/>
              <w:t>Use RERA Carpet Area Model (100% carpet area) as sole metric, or Equal Share Model (1/Nth for similar units), or Capital Value Model (based on purchase price).</w:t>
            </w:r>
          </w:p>
        </w:tc>
        <w:tc>
          <w:tcPr>
            <w:tcW w:w="4402" w:type="dxa"/>
            <w:tcBorders>
              <w:start w:val="single" w:sz="4" w:space="0" w:color="000000"/>
              <w:bottom w:val="single" w:sz="4" w:space="0" w:color="000000"/>
              <w:end w:val="single" w:sz="4" w:space="0" w:color="000000"/>
            </w:tcBorders>
            <w:vAlign w:val="center"/>
          </w:tcPr>
          <w:p>
            <w:pPr>
              <w:pStyle w:val="TableContents"/>
              <w:rPr/>
            </w:pPr>
            <w:r>
              <w:rPr/>
              <w:t>Current formula is arbitrary (33%), creates litigation. UDI in land determined by private area - two identical apartments could have different land shares because one has balcony. Does balcony give more ownership of earth beneath building? No.</w:t>
            </w:r>
          </w:p>
        </w:tc>
      </w:tr>
      <w:tr>
        <w:trPr>
          <w:cantSplit/>
        </w:trPr>
        <w:tc>
          <w:tcPr>
            <w:tcW w:w="481" w:type="dxa"/>
            <w:tcBorders>
              <w:start w:val="single" w:sz="4" w:space="0" w:color="000000"/>
              <w:bottom w:val="single" w:sz="4" w:space="0" w:color="000000"/>
            </w:tcBorders>
            <w:vAlign w:val="center"/>
          </w:tcPr>
          <w:p>
            <w:pPr>
              <w:pStyle w:val="TableContents"/>
              <w:rPr/>
            </w:pPr>
            <w:r>
              <w:rPr/>
              <w:t>196</w:t>
            </w:r>
          </w:p>
        </w:tc>
        <w:tc>
          <w:tcPr>
            <w:tcW w:w="985" w:type="dxa"/>
            <w:tcBorders>
              <w:start w:val="single" w:sz="4" w:space="0" w:color="000000"/>
              <w:bottom w:val="single" w:sz="4" w:space="0" w:color="000000"/>
            </w:tcBorders>
            <w:vAlign w:val="center"/>
          </w:tcPr>
          <w:p>
            <w:pPr>
              <w:pStyle w:val="TableContents"/>
              <w:rPr/>
            </w:pPr>
            <w:r>
              <w:rPr/>
              <w:t>Various</w:t>
            </w:r>
          </w:p>
        </w:tc>
        <w:tc>
          <w:tcPr>
            <w:tcW w:w="1597" w:type="dxa"/>
            <w:tcBorders>
              <w:start w:val="single" w:sz="4" w:space="0" w:color="000000"/>
              <w:bottom w:val="single" w:sz="4" w:space="0" w:color="000000"/>
            </w:tcBorders>
            <w:vAlign w:val="center"/>
          </w:tcPr>
          <w:p>
            <w:pPr>
              <w:pStyle w:val="TableContents"/>
              <w:rPr/>
            </w:pPr>
            <w:r>
              <w:rPr/>
              <w:t>Structural</w:t>
            </w:r>
          </w:p>
        </w:tc>
        <w:tc>
          <w:tcPr>
            <w:tcW w:w="3921" w:type="dxa"/>
            <w:tcBorders>
              <w:start w:val="single" w:sz="4" w:space="0" w:color="000000"/>
              <w:bottom w:val="single" w:sz="4" w:space="0" w:color="000000"/>
            </w:tcBorders>
            <w:vAlign w:val="center"/>
          </w:tcPr>
          <w:p>
            <w:pPr>
              <w:pStyle w:val="TableContents"/>
              <w:rPr/>
            </w:pPr>
            <w:r>
              <w:rPr/>
              <w:t>Building spends 70 pages on square footage calculations and only 3 pages on building standing upright.</w:t>
            </w:r>
          </w:p>
        </w:tc>
        <w:tc>
          <w:tcPr>
            <w:tcW w:w="4546" w:type="dxa"/>
            <w:tcBorders>
              <w:start w:val="single" w:sz="4" w:space="0" w:color="000000"/>
              <w:bottom w:val="single" w:sz="4" w:space="0" w:color="000000"/>
            </w:tcBorders>
            <w:vAlign w:val="center"/>
          </w:tcPr>
          <w:p>
            <w:pPr>
              <w:pStyle w:val="TableContents"/>
              <w:rPr/>
            </w:pPr>
            <w:r>
              <w:rPr/>
              <w:t>Insert robust Chapter mandating periodic structural and fire-safety compliance audits (aligned with NBC) as prerequisite for voting rights or sale.</w:t>
            </w:r>
          </w:p>
        </w:tc>
        <w:tc>
          <w:tcPr>
            <w:tcW w:w="4402" w:type="dxa"/>
            <w:tcBorders>
              <w:start w:val="single" w:sz="4" w:space="0" w:color="000000"/>
              <w:bottom w:val="single" w:sz="4" w:space="0" w:color="000000"/>
              <w:end w:val="single" w:sz="4" w:space="0" w:color="000000"/>
            </w:tcBorders>
            <w:vAlign w:val="center"/>
          </w:tcPr>
          <w:p>
            <w:pPr>
              <w:pStyle w:val="TableContents"/>
              <w:rPr/>
            </w:pPr>
            <w:r>
              <w:rPr/>
              <w:t>NBC (National Building Code) blind spot. Building constructed with substandard concrete is allowed to be occupied, bought, sold for 30 years before anyone checks skeleton. By the time 30-year audit happens, building is already in distress.</w:t>
            </w:r>
          </w:p>
        </w:tc>
      </w:tr>
      <w:tr>
        <w:trPr>
          <w:cantSplit/>
        </w:trPr>
        <w:tc>
          <w:tcPr>
            <w:tcW w:w="481" w:type="dxa"/>
            <w:tcBorders>
              <w:start w:val="single" w:sz="4" w:space="0" w:color="000000"/>
              <w:bottom w:val="single" w:sz="4" w:space="0" w:color="000000"/>
            </w:tcBorders>
            <w:vAlign w:val="center"/>
          </w:tcPr>
          <w:p>
            <w:pPr>
              <w:pStyle w:val="TableContents"/>
              <w:rPr/>
            </w:pPr>
            <w:r>
              <w:rPr/>
              <w:t>197</w:t>
            </w:r>
          </w:p>
        </w:tc>
        <w:tc>
          <w:tcPr>
            <w:tcW w:w="985" w:type="dxa"/>
            <w:tcBorders>
              <w:start w:val="single" w:sz="4" w:space="0" w:color="000000"/>
              <w:bottom w:val="single" w:sz="4" w:space="0" w:color="000000"/>
            </w:tcBorders>
            <w:vAlign w:val="center"/>
          </w:tcPr>
          <w:p>
            <w:pPr>
              <w:pStyle w:val="TableContents"/>
              <w:rPr/>
            </w:pPr>
            <w:r>
              <w:rPr/>
              <w:t>Various</w:t>
            </w:r>
          </w:p>
        </w:tc>
        <w:tc>
          <w:tcPr>
            <w:tcW w:w="1597" w:type="dxa"/>
            <w:tcBorders>
              <w:start w:val="single" w:sz="4" w:space="0" w:color="000000"/>
              <w:bottom w:val="single" w:sz="4" w:space="0" w:color="000000"/>
            </w:tcBorders>
            <w:vAlign w:val="center"/>
          </w:tcPr>
          <w:p>
            <w:pPr>
              <w:pStyle w:val="TableContents"/>
              <w:rPr/>
            </w:pPr>
            <w:r>
              <w:rPr/>
              <w:t>Applicability</w:t>
            </w:r>
          </w:p>
        </w:tc>
        <w:tc>
          <w:tcPr>
            <w:tcW w:w="3921" w:type="dxa"/>
            <w:tcBorders>
              <w:start w:val="single" w:sz="4" w:space="0" w:color="000000"/>
              <w:bottom w:val="single" w:sz="4" w:space="0" w:color="000000"/>
            </w:tcBorders>
            <w:vAlign w:val="center"/>
          </w:tcPr>
          <w:p>
            <w:pPr>
              <w:pStyle w:val="TableContents"/>
              <w:rPr/>
            </w:pPr>
            <w:r>
              <w:rPr/>
              <w:t>The Act treats an entire township (multiple non-contiguous parcels) as a single "property" for UDI, governance, and redevelopment purposes. This creates mathematical absurdity and practical impossibility.</w:t>
            </w:r>
          </w:p>
        </w:tc>
        <w:tc>
          <w:tcPr>
            <w:tcW w:w="4546" w:type="dxa"/>
            <w:tcBorders>
              <w:start w:val="single" w:sz="4" w:space="0" w:color="000000"/>
              <w:bottom w:val="single" w:sz="4" w:space="0" w:color="000000"/>
            </w:tcBorders>
            <w:vAlign w:val="center"/>
          </w:tcPr>
          <w:p>
            <w:pPr>
              <w:pStyle w:val="TableContents"/>
              <w:rPr/>
            </w:pPr>
            <w:r>
              <w:rPr/>
              <w:t>Amend UDI calculation to apply only within relevant phase or geographical parcel. Require phase-based legal segregation for ownership, governance, and financial accountability.</w:t>
            </w:r>
          </w:p>
        </w:tc>
        <w:tc>
          <w:tcPr>
            <w:tcW w:w="4402" w:type="dxa"/>
            <w:tcBorders>
              <w:start w:val="single" w:sz="4" w:space="0" w:color="000000"/>
              <w:bottom w:val="single" w:sz="4" w:space="0" w:color="000000"/>
              <w:end w:val="single" w:sz="4" w:space="0" w:color="000000"/>
            </w:tcBorders>
            <w:vAlign w:val="center"/>
          </w:tcPr>
          <w:p>
            <w:pPr>
              <w:pStyle w:val="TableContents"/>
              <w:rPr/>
            </w:pPr>
            <w:r>
              <w:rPr/>
              <w:t>In 100-acre township with 10,000 apartments, each owner's UDI becomes vanishingly small fraction (e.g., 0.01% spread across entire geographical expanse). Bank cannot mortgage 0.01% share of shopping mall 5 km away. Redevelopment of Tower A requires 75% consent of all 10,000 owners including those in Towers B-Z. Residents of Phase 1 pay for repair of pool in Phase 4.</w:t>
            </w:r>
          </w:p>
        </w:tc>
      </w:tr>
    </w:tbl>
    <w:p>
      <w:pPr>
        <w:pStyle w:val="HorizontalLine"/>
        <w:rPr/>
      </w:pPr>
      <w:r>
        <w:rPr/>
      </w:r>
    </w:p>
    <w:p>
      <w:pPr>
        <w:pStyle w:val="BodyText"/>
        <w:rPr/>
        <w:sectPr>
          <w:type w:val="nextPage"/>
          <w:pgSz w:orient="landscape" w:w="16838" w:h="11906"/>
          <w:pgMar w:left="497" w:right="409" w:gutter="0" w:header="0" w:top="432" w:footer="0" w:bottom="478"/>
          <w:pgNumType w:fmt="decimal"/>
          <w:formProt w:val="false"/>
          <w:textDirection w:val="lrTb"/>
        </w:sectPr>
      </w:pPr>
      <w:r>
        <w:rPr/>
      </w:r>
    </w:p>
    <w:p>
      <w:pPr>
        <w:pStyle w:val="Heading1"/>
        <w:numPr>
          <w:ilvl w:val="0"/>
          <w:numId w:val="2"/>
        </w:numPr>
        <w:ind w:hanging="0" w:start="0"/>
        <w:rPr/>
      </w:pPr>
      <w:bookmarkStart w:id="4" w:name="__RefHeading___Toc56030_880593128"/>
      <w:bookmarkEnd w:id="4"/>
      <w:r>
        <w:rPr/>
        <w:t>Appendices: Theme-wise detailed logical derivations</w:t>
      </w:r>
    </w:p>
    <w:p>
      <w:pPr>
        <w:pStyle w:val="HorizontalLine"/>
        <w:rPr/>
      </w:pPr>
      <w:r>
        <w:rPr/>
      </w:r>
    </w:p>
    <w:p>
      <w:pPr>
        <w:pStyle w:val="Heading2"/>
        <w:rPr/>
      </w:pPr>
      <w:bookmarkStart w:id="5" w:name="__RefHeading___Toc56032_880593128"/>
      <w:bookmarkEnd w:id="5"/>
      <w:r>
        <w:rPr/>
        <w:t>Appendix 1: Tax and title ambiguity</w:t>
      </w:r>
    </w:p>
    <w:p>
      <w:pPr>
        <w:pStyle w:val="Heading3"/>
        <w:numPr>
          <w:ilvl w:val="0"/>
          <w:numId w:val="2"/>
        </w:numPr>
        <w:ind w:hanging="0" w:start="0"/>
        <w:rPr/>
      </w:pPr>
      <w:bookmarkStart w:id="6" w:name="__RefHeading___Toc56034_880593128"/>
      <w:bookmarkEnd w:id="6"/>
      <w:r>
        <w:rPr/>
        <w:t>1. Problem Statement</w:t>
      </w:r>
    </w:p>
    <w:p>
      <w:pPr>
        <w:pStyle w:val="BodyText"/>
        <w:rPr/>
      </w:pPr>
      <w:r>
        <w:rPr/>
        <w:t>KAOMA#10(3) states that the Association manages the common areas but does NOT own them—the UDI remains vested in the individual owners. KAOMA#56 states that the Association is assessed for property tax on the common areas.</w:t>
      </w:r>
    </w:p>
    <w:p>
      <w:pPr>
        <w:pStyle w:val="BodyText"/>
        <w:rPr/>
      </w:pPr>
      <w:r>
        <w:rPr>
          <w:rStyle w:val="Strong"/>
        </w:rPr>
        <w:t>∴</w:t>
      </w:r>
      <w:r>
        <w:rPr/>
        <w:t xml:space="preserve"> </w:t>
      </w:r>
      <w:r>
        <w:rPr/>
        <w:t>These two sections directly contradict each other.</w:t>
      </w:r>
    </w:p>
    <w:p>
      <w:pPr>
        <w:pStyle w:val="Heading3"/>
        <w:numPr>
          <w:ilvl w:val="2"/>
          <w:numId w:val="2"/>
        </w:numPr>
        <w:ind w:hanging="0" w:start="0"/>
        <w:rPr/>
      </w:pPr>
      <w:bookmarkStart w:id="7" w:name="__RefHeading___Toc56036_880593128"/>
      <w:bookmarkEnd w:id="7"/>
      <w:r>
        <w:rPr/>
        <w:t>2. Sections Involved</w:t>
      </w:r>
    </w:p>
    <w:p>
      <w:pPr>
        <w:pStyle w:val="BodyText"/>
        <w:numPr>
          <w:ilvl w:val="0"/>
          <w:numId w:val="5"/>
        </w:numPr>
        <w:rPr/>
      </w:pPr>
      <w:r>
        <w:rPr/>
        <w:t>KAOMA#10(3): Transfer of management... shall not be construed as transferring the ownership... which shall remain vested in the apartment owners in proportion to their undivided right, title and interest.</w:t>
      </w:r>
    </w:p>
    <w:p>
      <w:pPr>
        <w:pStyle w:val="BodyText"/>
        <w:numPr>
          <w:ilvl w:val="0"/>
          <w:numId w:val="5"/>
        </w:numPr>
        <w:rPr/>
      </w:pPr>
      <w:r>
        <w:rPr/>
        <w:t>KAOMA#56: Each apartment together with the corresponding undivided right, title and interest... shall be deemed to be a separate and independent property for the purpose of assessment and levy of any tax on lands and buildings. Accordingly, every such apartment shall be separately assessed and taxed... The concerned local authority may make such rules or administrative arrangements as may be necessary.</w:t>
      </w:r>
    </w:p>
    <w:p>
      <w:pPr>
        <w:pStyle w:val="Heading3"/>
        <w:numPr>
          <w:ilvl w:val="0"/>
          <w:numId w:val="0"/>
        </w:numPr>
        <w:ind w:hanging="0" w:start="0"/>
        <w:rPr/>
      </w:pPr>
      <w:bookmarkStart w:id="8" w:name="__RefHeading___Toc56038_880593128"/>
      <w:bookmarkEnd w:id="8"/>
      <w:r>
        <w:rPr/>
        <w:t>3. Causal Chain</w:t>
      </w:r>
    </w:p>
    <w:p>
      <w:pPr>
        <w:pStyle w:val="BodyText"/>
        <w:rPr/>
      </w:pPr>
      <w:r>
        <w:rPr>
          <w:rStyle w:val="Strong"/>
        </w:rPr>
        <w:t>Premise 1:</w:t>
      </w:r>
      <w:r>
        <w:rPr/>
        <w:t xml:space="preserve"> #10(3) states individuals own the UDI.</w:t>
      </w:r>
    </w:p>
    <w:p>
      <w:pPr>
        <w:pStyle w:val="BodyText"/>
        <w:rPr/>
      </w:pPr>
      <w:r>
        <w:rPr>
          <w:rStyle w:val="Strong"/>
        </w:rPr>
        <w:t>Premise 2:</w:t>
      </w:r>
      <w:r>
        <w:rPr/>
        <w:t xml:space="preserve"> #56 states the Association is taxed on common areas.</w:t>
      </w:r>
    </w:p>
    <w:p>
      <w:pPr>
        <w:pStyle w:val="BodyText"/>
        <w:rPr/>
      </w:pPr>
      <w:r>
        <w:rPr>
          <w:rStyle w:val="Strong"/>
        </w:rPr>
        <w:t>∴</w:t>
      </w:r>
      <w:r>
        <w:rPr/>
        <w:t xml:space="preserve"> </w:t>
      </w:r>
      <w:r>
        <w:rPr/>
        <w:t>Direct contradiction between #10(3) and #56. ⇔ Statutory conflict.</w:t>
      </w:r>
    </w:p>
    <w:p>
      <w:pPr>
        <w:pStyle w:val="HorizontalLine"/>
        <w:rPr/>
      </w:pPr>
      <w:r>
        <w:rPr/>
      </w:r>
    </w:p>
    <w:p>
      <w:pPr>
        <w:pStyle w:val="BodyText"/>
        <w:rPr/>
      </w:pPr>
      <w:r>
        <w:rPr/>
        <w:t>1.1: #10(3) → Individuals own UDI.</w:t>
        <w:br/>
        <w:t>→ Association does NOT own common areas.</w:t>
      </w:r>
    </w:p>
    <w:p>
      <w:pPr>
        <w:pStyle w:val="BodyText"/>
        <w:rPr/>
      </w:pPr>
      <w:r>
        <w:rPr/>
        <w:t>1.2: #56 → Association taxed on common areas.</w:t>
        <w:br/>
        <w:t>→ #10(3) ∧ #56 cannot both be true. ∴ Direct contradiction.</w:t>
      </w:r>
    </w:p>
    <w:p>
      <w:pPr>
        <w:pStyle w:val="BodyText"/>
        <w:rPr/>
      </w:pPr>
      <w:r>
        <w:rPr/>
        <w:t>1.3: Local authorities cannot assess individual owners on UDI fraction. ∵ Khata requires a single taxable entity.</w:t>
        <w:br/>
        <w:t>→ They treat Association as taxable entity for common areas.</w:t>
      </w:r>
    </w:p>
    <w:p>
      <w:pPr>
        <w:pStyle w:val="BodyText"/>
        <w:rPr/>
      </w:pPr>
      <w:r>
        <w:rPr/>
        <w:t>1.4: BBMP issues khata in Association's name for common areas.</w:t>
        <w:br/>
        <w:t>→ But Association does NOT own them (#10(3)). ∴ Khata is legally inconsistent.</w:t>
      </w:r>
    </w:p>
    <w:p>
      <w:pPr>
        <w:pStyle w:val="BodyText"/>
        <w:rPr/>
      </w:pPr>
      <w:r>
        <w:rPr/>
        <w:t>1.5: Bank requires khata to verify title for mortgage.</w:t>
        <w:br/>
        <w:t>→ Khata shows Association, not individual owner.</w:t>
        <w:br/>
        <w:t>∴ Bank cannot verify UDI is part of owner's security.</w:t>
      </w:r>
    </w:p>
    <w:p>
      <w:pPr>
        <w:pStyle w:val="BodyText"/>
        <w:rPr/>
      </w:pPr>
      <w:r>
        <w:rPr/>
        <w:t>1.6: Bank cannot verify UDI → Loan reduced or rejected.</w:t>
        <w:br/>
        <w:t>⇒ Owner cannot borrow against full property value.</w:t>
      </w:r>
    </w:p>
    <w:p>
      <w:pPr>
        <w:pStyle w:val="BodyText"/>
        <w:rPr/>
      </w:pPr>
      <w:r>
        <w:rPr/>
        <w:t>1.7: Owner dies. Heirs need to prove ownership of UDI.</w:t>
        <w:br/>
        <w:t>→ Khata shows Association, not individual.</w:t>
        <w:br/>
        <w:t>∴ Heirs cannot prove UDI inheritance.</w:t>
      </w:r>
    </w:p>
    <w:p>
      <w:pPr>
        <w:pStyle w:val="BodyText"/>
        <w:rPr/>
      </w:pPr>
      <w:r>
        <w:rPr/>
        <w:t>1.8: Heirs cannot prove UDI inheritance → Court delays ∧ Costs multiply.</w:t>
        <w:br/>
        <w:t>→ Inheritance disputes arise.</w:t>
      </w:r>
    </w:p>
    <w:p>
      <w:pPr>
        <w:pStyle w:val="BodyText"/>
        <w:rPr/>
      </w:pPr>
      <w:r>
        <w:rPr>
          <w:rStyle w:val="Strong"/>
        </w:rPr>
        <w:t>Final Consequence:</w:t>
      </w:r>
      <w:r>
        <w:rPr/>
        <w:t xml:space="preserve"> Owners suffer multiple harms: mortgage rejection, inheritance complications, tax deduction loss, and revenue leakage for government. All trace back to the contradiction between #10(3) and #56.</w:t>
      </w:r>
    </w:p>
    <w:p>
      <w:pPr>
        <w:pStyle w:val="Heading3"/>
        <w:numPr>
          <w:ilvl w:val="2"/>
          <w:numId w:val="2"/>
        </w:numPr>
        <w:ind w:hanging="0" w:start="0"/>
        <w:rPr/>
      </w:pPr>
      <w:bookmarkStart w:id="9" w:name="__RefHeading___Toc56040_880593128"/>
      <w:bookmarkEnd w:id="9"/>
      <w:r>
        <w:rPr/>
        <w:t>4. Itemized Consequences</w:t>
      </w:r>
    </w:p>
    <w:p>
      <w:pPr>
        <w:pStyle w:val="BodyText"/>
        <w:numPr>
          <w:ilvl w:val="0"/>
          <w:numId w:val="6"/>
        </w:numPr>
        <w:rPr/>
      </w:pPr>
      <w:r>
        <w:rPr>
          <w:rStyle w:val="Strong"/>
        </w:rPr>
        <w:t>Khata confusion:</w:t>
      </w:r>
      <w:r>
        <w:rPr/>
        <w:t xml:space="preserve"> BBMP issues khata in Association's name for common areas, but Association does not own them (#10(3)). ∴ Khata does not reflect individual owner's UDI.</w:t>
      </w:r>
    </w:p>
    <w:p>
      <w:pPr>
        <w:pStyle w:val="BodyText"/>
        <w:numPr>
          <w:ilvl w:val="0"/>
          <w:numId w:val="6"/>
        </w:numPr>
        <w:rPr/>
      </w:pPr>
      <w:r>
        <w:rPr>
          <w:rStyle w:val="Strong"/>
        </w:rPr>
        <w:t>Mortgage rejection:</w:t>
      </w:r>
      <w:r>
        <w:rPr/>
        <w:t xml:space="preserve"> Banks cannot verify UDI in khata. → Loans reduced or rejected. ⇒ Owners cannot borrow against full property value.</w:t>
      </w:r>
    </w:p>
    <w:p>
      <w:pPr>
        <w:pStyle w:val="BodyText"/>
        <w:numPr>
          <w:ilvl w:val="0"/>
          <w:numId w:val="6"/>
        </w:numPr>
        <w:rPr/>
      </w:pPr>
      <w:r>
        <w:rPr>
          <w:rStyle w:val="Strong"/>
        </w:rPr>
        <w:t>Inheritance complications:</w:t>
      </w:r>
      <w:r>
        <w:rPr/>
        <w:t xml:space="preserve"> Heirs cannot prove UDI ownership. → Courts involved. ⇒ Delays and disputes.</w:t>
      </w:r>
    </w:p>
    <w:p>
      <w:pPr>
        <w:pStyle w:val="BodyText"/>
        <w:numPr>
          <w:ilvl w:val="0"/>
          <w:numId w:val="6"/>
        </w:numPr>
        <w:rPr/>
      </w:pPr>
      <w:r>
        <w:rPr>
          <w:rStyle w:val="Strong"/>
        </w:rPr>
        <w:t>Tax deduction loss:</w:t>
      </w:r>
      <w:r>
        <w:rPr/>
        <w:t xml:space="preserve"> Owners cannot claim ITA deductions on UDI portion. ⇒ Financial loss.</w:t>
      </w:r>
    </w:p>
    <w:p>
      <w:pPr>
        <w:pStyle w:val="BodyText"/>
        <w:numPr>
          <w:ilvl w:val="0"/>
          <w:numId w:val="6"/>
        </w:numPr>
        <w:rPr/>
      </w:pPr>
      <w:r>
        <w:rPr>
          <w:rStyle w:val="Strong"/>
        </w:rPr>
        <w:t>Revenue leakage:</w:t>
      </w:r>
      <w:r>
        <w:rPr/>
        <w:t xml:space="preserve"> Government loses revenue. Association may claim exemptions. Individual owners not assessed on UDI. ∴ System unfair and inefficient.</w:t>
      </w:r>
    </w:p>
    <w:p>
      <w:pPr>
        <w:pStyle w:val="Heading3"/>
        <w:numPr>
          <w:ilvl w:val="0"/>
          <w:numId w:val="0"/>
        </w:numPr>
        <w:ind w:hanging="0" w:start="0"/>
        <w:rPr/>
      </w:pPr>
      <w:bookmarkStart w:id="10" w:name="__RefHeading___Toc56042_880593128"/>
      <w:bookmarkEnd w:id="10"/>
      <w:r>
        <w:rPr/>
        <w:t>5. Atomic Changes Required</w:t>
      </w:r>
    </w:p>
    <w:p>
      <w:pPr>
        <w:pStyle w:val="BodyText"/>
        <w:rPr/>
      </w:pPr>
      <w:r>
        <w:rPr>
          <w:rStyle w:val="Strong"/>
        </w:rPr>
        <w:t>Change 1: Amend KAOMA#56</w:t>
      </w:r>
    </w:p>
    <w:p>
      <w:pPr>
        <w:pStyle w:val="BodyText"/>
        <w:rPr/>
      </w:pPr>
      <w:r>
        <w:rPr>
          <w:rStyle w:val="Emphasis"/>
        </w:rPr>
        <w:t>Draft:</w:t>
      </w:r>
      <w:r>
        <w:rPr/>
        <w:t xml:space="preserve"> "Each apartment owner shall be separately assessed and taxed on his or her apartment together with the corresponding undivided right, title and interest in the land and the common areas and facilities appurtenant thereto, in proportion to the UDI assigned to such apartment."</w:t>
      </w:r>
    </w:p>
    <w:p>
      <w:pPr>
        <w:pStyle w:val="BodyText"/>
        <w:rPr/>
      </w:pPr>
      <w:r>
        <w:rPr>
          <w:rStyle w:val="Strong"/>
        </w:rPr>
        <w:t>Change 2: Delete from KAOMA#56</w:t>
      </w:r>
    </w:p>
    <w:p>
      <w:pPr>
        <w:pStyle w:val="BodyText"/>
        <w:rPr/>
      </w:pPr>
      <w:r>
        <w:rPr>
          <w:rStyle w:val="Emphasis"/>
        </w:rPr>
        <w:t>Delete:</w:t>
      </w:r>
      <w:r>
        <w:rPr/>
        <w:t xml:space="preserve"> "the association shall be assessed and taxed" (or add clarifying proviso stating that the Association shall not be the taxable entity).</w:t>
      </w:r>
    </w:p>
    <w:p>
      <w:pPr>
        <w:pStyle w:val="BodyText"/>
        <w:rPr/>
      </w:pPr>
      <w:r>
        <w:rPr>
          <w:rStyle w:val="Strong"/>
        </w:rPr>
        <w:t>Change 3: Amend KAOMA#10(3)</w:t>
      </w:r>
    </w:p>
    <w:p>
      <w:pPr>
        <w:pStyle w:val="BodyText"/>
        <w:rPr/>
      </w:pPr>
      <w:r>
        <w:rPr>
          <w:rStyle w:val="Emphasis"/>
        </w:rPr>
        <w:t>Add:</w:t>
      </w:r>
      <w:r>
        <w:rPr/>
        <w:t xml:space="preserve"> "Notwithstanding anything contained in this sub-section, the Association shall not be treated as the owner of the common areas or facilities for the purpose of assessment and levy of any tax on lands and buildings."</w:t>
      </w:r>
    </w:p>
    <w:p>
      <w:pPr>
        <w:pStyle w:val="Heading3"/>
        <w:numPr>
          <w:ilvl w:val="2"/>
          <w:numId w:val="2"/>
        </w:numPr>
        <w:ind w:hanging="0" w:start="0"/>
        <w:rPr/>
      </w:pPr>
      <w:bookmarkStart w:id="11" w:name="__RefHeading___Toc56044_880593128"/>
      <w:bookmarkEnd w:id="11"/>
      <w:r>
        <w:rPr/>
        <w:t>6. Justification</w:t>
      </w:r>
    </w:p>
    <w:p>
      <w:pPr>
        <w:pStyle w:val="BodyText"/>
        <w:rPr/>
      </w:pPr>
      <w:r>
        <w:rPr/>
        <w:t>#10(3) ∧ #56 cannot both be true. The Act says individuals own the UDI (#10(3)) and also says the Association is taxed (#56). This is a direct statutory contradiction that cannot be resolved by interpretation.</w:t>
      </w:r>
    </w:p>
    <w:p>
      <w:pPr>
        <w:pStyle w:val="BodyText"/>
        <w:rPr/>
      </w:pPr>
      <w:r>
        <w:rPr>
          <w:rStyle w:val="Strong"/>
        </w:rPr>
        <w:t>Solution:</w:t>
      </w:r>
    </w:p>
    <w:p>
      <w:pPr>
        <w:pStyle w:val="BodyText"/>
        <w:numPr>
          <w:ilvl w:val="0"/>
          <w:numId w:val="7"/>
        </w:numPr>
        <w:rPr/>
      </w:pPr>
      <w:r>
        <w:rPr/>
        <w:t>#10(3) → Individuals own UDI. ∴ Tax must follow ownership.</w:t>
      </w:r>
    </w:p>
    <w:p>
      <w:pPr>
        <w:pStyle w:val="BodyText"/>
        <w:numPr>
          <w:ilvl w:val="0"/>
          <w:numId w:val="7"/>
        </w:numPr>
        <w:rPr/>
      </w:pPr>
      <w:r>
        <w:rPr/>
        <w:t>#56 → Association should NOT be taxable entity. ∴ Delete Association as taxable entity.</w:t>
      </w:r>
    </w:p>
    <w:p>
      <w:pPr>
        <w:pStyle w:val="BodyText"/>
        <w:rPr/>
      </w:pPr>
      <w:r>
        <w:rPr>
          <w:rStyle w:val="Strong"/>
        </w:rPr>
        <w:t>Result:</w:t>
      </w:r>
      <w:r>
        <w:rPr/>
        <w:t xml:space="preserve"> Tax assessed on individual owners in proportion to UDI, consistent with #10(3). This is how KAOA functioned for 53 years, and it worked.</w:t>
      </w:r>
    </w:p>
    <w:p>
      <w:pPr>
        <w:pStyle w:val="HorizontalLine"/>
        <w:rPr/>
      </w:pPr>
      <w:r>
        <w:rPr/>
      </w:r>
    </w:p>
    <w:p>
      <w:pPr>
        <w:pStyle w:val="Heading2"/>
        <w:rPr/>
      </w:pPr>
      <w:bookmarkStart w:id="12" w:name="__RefHeading___Toc56046_880593128"/>
      <w:bookmarkEnd w:id="12"/>
      <w:r>
        <w:rPr/>
        <w:t>Appendix 2: The 33% UDI loophole</w:t>
      </w:r>
    </w:p>
    <w:p>
      <w:pPr>
        <w:pStyle w:val="Heading3"/>
        <w:numPr>
          <w:ilvl w:val="0"/>
          <w:numId w:val="2"/>
        </w:numPr>
        <w:ind w:hanging="0" w:start="0"/>
        <w:rPr/>
      </w:pPr>
      <w:bookmarkStart w:id="13" w:name="__RefHeading___Toc56048_880593128"/>
      <w:bookmarkEnd w:id="13"/>
      <w:r>
        <w:rPr/>
        <w:t>1. Problem Statement</w:t>
      </w:r>
    </w:p>
    <w:p>
      <w:pPr>
        <w:pStyle w:val="BodyText"/>
        <w:rPr/>
      </w:pPr>
      <w:r>
        <w:rPr/>
        <w:t>KAOMA#2(hh)(iii) uses the phrase "thirty-three percent or whatever percent specified in the title deed." The inclusion of "whatever percent specified in the title deed" creates an arbitrary and manipulable loophole, allowing different percentages for different apartments in the same project. UDI becomes a tool for fraud rather than a protection against it.</w:t>
      </w:r>
    </w:p>
    <w:p>
      <w:pPr>
        <w:pStyle w:val="Heading3"/>
        <w:numPr>
          <w:ilvl w:val="2"/>
          <w:numId w:val="2"/>
        </w:numPr>
        <w:ind w:hanging="0" w:start="0"/>
        <w:rPr/>
      </w:pPr>
      <w:bookmarkStart w:id="14" w:name="__RefHeading___Toc56050_880593128"/>
      <w:bookmarkEnd w:id="14"/>
      <w:r>
        <w:rPr/>
        <w:t>2. Sections Involved</w:t>
      </w:r>
    </w:p>
    <w:p>
      <w:pPr>
        <w:pStyle w:val="BodyText"/>
        <w:numPr>
          <w:ilvl w:val="0"/>
          <w:numId w:val="49"/>
        </w:numPr>
        <w:rPr/>
      </w:pPr>
      <w:r>
        <w:rPr/>
        <w:t>KAOMA#2(hh): "Super Built-up Area means... (iii) thirty-three percent or whatever percent specified in the title deed of the area of any terrace, lawn, garden, courtyard or other open space conveyed as part of the apartment... and (iv) the proportionate share assigned to the apartment in the built-up portions of the common areas and facilities..."</w:t>
      </w:r>
    </w:p>
    <w:p>
      <w:pPr>
        <w:pStyle w:val="BodyText"/>
        <w:numPr>
          <w:ilvl w:val="0"/>
          <w:numId w:val="49"/>
        </w:numPr>
        <w:rPr/>
      </w:pPr>
      <w:r>
        <w:rPr/>
        <w:t>KAOMA#11(2): "The proportion of the undivided right, title and interest of each apartment owner... shall be determined in the ratio of the private area of the apartment to the total private area of all apartments in the project."</w:t>
      </w:r>
    </w:p>
    <w:p>
      <w:pPr>
        <w:pStyle w:val="BodyText"/>
        <w:numPr>
          <w:ilvl w:val="0"/>
          <w:numId w:val="49"/>
        </w:numPr>
        <w:rPr/>
      </w:pPr>
      <w:r>
        <w:rPr/>
        <w:t>KAOMA#14(1)(f): "the proportion of the undivided, non-exclusive right, title and interest in the land of the project and in the common areas and facilities"</w:t>
      </w:r>
    </w:p>
    <w:p>
      <w:pPr>
        <w:pStyle w:val="Heading3"/>
        <w:numPr>
          <w:ilvl w:val="0"/>
          <w:numId w:val="0"/>
        </w:numPr>
        <w:ind w:hanging="0" w:start="0"/>
        <w:rPr/>
      </w:pPr>
      <w:bookmarkStart w:id="15" w:name="__RefHeading___Toc56052_880593128"/>
      <w:bookmarkEnd w:id="15"/>
      <w:r>
        <w:rPr/>
        <w:t>3. Causal Chain</w:t>
      </w:r>
    </w:p>
    <w:p>
      <w:pPr>
        <w:pStyle w:val="BodyText"/>
        <w:rPr/>
      </w:pPr>
      <w:r>
        <w:rPr>
          <w:rStyle w:val="Strong"/>
        </w:rPr>
        <w:t>Premise 1:</w:t>
      </w:r>
      <w:r>
        <w:rPr/>
        <w:t xml:space="preserve"> #2(hh)(iii) says "33% or whatever percent specified in the title deed."</w:t>
      </w:r>
    </w:p>
    <w:p>
      <w:pPr>
        <w:pStyle w:val="BodyText"/>
        <w:rPr/>
      </w:pPr>
      <w:r>
        <w:rPr>
          <w:rStyle w:val="Strong"/>
        </w:rPr>
        <w:t>Premise 2:</w:t>
      </w:r>
      <w:r>
        <w:rPr/>
        <w:t xml:space="preserve"> The phrase "whatever percent" allows arbitrary variation.</w:t>
      </w:r>
    </w:p>
    <w:p>
      <w:pPr>
        <w:pStyle w:val="BodyText"/>
        <w:rPr/>
      </w:pPr>
      <w:r>
        <w:rPr>
          <w:rStyle w:val="Strong"/>
        </w:rPr>
        <w:t>∴</w:t>
      </w:r>
      <w:r>
        <w:rPr/>
        <w:t xml:space="preserve"> </w:t>
      </w:r>
      <w:r>
        <w:rPr/>
        <w:t>UDI calculation is manipulable. ⇔ No uniformity across projects.</w:t>
      </w:r>
    </w:p>
    <w:p>
      <w:pPr>
        <w:pStyle w:val="HorizontalLine"/>
        <w:rPr/>
      </w:pPr>
      <w:r>
        <w:rPr/>
      </w:r>
    </w:p>
    <w:p>
      <w:pPr>
        <w:pStyle w:val="BodyText"/>
        <w:rPr/>
      </w:pPr>
      <w:r>
        <w:rPr/>
        <w:t>1.1: #2(hh)(iii) → "33% or whatever percent specified in the title deed."</w:t>
        <w:br/>
        <w:t>→ Promoter can choose different percentages for different apartments.</w:t>
      </w:r>
    </w:p>
    <w:p>
      <w:pPr>
        <w:pStyle w:val="BodyText"/>
        <w:rPr/>
      </w:pPr>
      <w:r>
        <w:rPr/>
        <w:t>1.2: Different percentages → No uniformity across projects.</w:t>
        <w:br/>
        <w:t>→ Buyers cannot compare UDI across projects. ∴ No transparency.</w:t>
      </w:r>
    </w:p>
    <w:p>
      <w:pPr>
        <w:pStyle w:val="BodyText"/>
        <w:rPr/>
      </w:pPr>
      <w:r>
        <w:rPr/>
        <w:t>1.3: Promoter chooses percentages to manipulate UDI.</w:t>
        <w:br/>
        <w:t>→ UDI can be inflated for some, deflated for others.</w:t>
      </w:r>
    </w:p>
    <w:p>
      <w:pPr>
        <w:pStyle w:val="BodyText"/>
        <w:rPr/>
      </w:pPr>
      <w:r>
        <w:rPr/>
        <w:t>1.4: UDI manipulation → Dilution of ownership for original owners.</w:t>
        <w:br/>
        <w:t>→ Original owners' UDI reduced without consent.</w:t>
      </w:r>
    </w:p>
    <w:p>
      <w:pPr>
        <w:pStyle w:val="BodyText"/>
        <w:rPr/>
      </w:pPr>
      <w:r>
        <w:rPr/>
        <w:t>1.5: No freeze mechanism (#11(3) not enforced) → UDI can be changed without unanimous consent.</w:t>
        <w:br/>
        <w:t>→ Builders file amendments without consent. ∴ No protection.</w:t>
      </w:r>
    </w:p>
    <w:p>
      <w:pPr>
        <w:pStyle w:val="BodyText"/>
        <w:rPr/>
      </w:pPr>
      <w:r>
        <w:rPr/>
        <w:t>1.6: LCA excluded from UDI calculation → Fraud cannot be detected.</w:t>
        <w:br/>
        <w:t>→ Promoter sells common areas (parking, terraces) without adjusting UDI.</w:t>
        <w:br/>
        <w:t>⇒ 90% victims suffer silently.</w:t>
      </w:r>
    </w:p>
    <w:p>
      <w:pPr>
        <w:pStyle w:val="BodyText"/>
        <w:rPr/>
      </w:pPr>
      <w:r>
        <w:rPr>
          <w:rStyle w:val="Strong"/>
        </w:rPr>
        <w:t>Final Consequence:</w:t>
      </w:r>
      <w:r>
        <w:rPr/>
        <w:t xml:space="preserve"> The UDI formula becomes a tool for fraud rather than a protection against it. Promoters manipulate UDI, dilute ownership, and sell common areas without detection.</w:t>
      </w:r>
    </w:p>
    <w:p>
      <w:pPr>
        <w:pStyle w:val="Heading3"/>
        <w:numPr>
          <w:ilvl w:val="2"/>
          <w:numId w:val="2"/>
        </w:numPr>
        <w:ind w:hanging="0" w:start="0"/>
        <w:rPr/>
      </w:pPr>
      <w:bookmarkStart w:id="16" w:name="__RefHeading___Toc56054_880593128"/>
      <w:bookmarkEnd w:id="16"/>
      <w:r>
        <w:rPr/>
        <w:t>4. Itemized Consequences</w:t>
      </w:r>
    </w:p>
    <w:p>
      <w:pPr>
        <w:pStyle w:val="BodyText"/>
        <w:numPr>
          <w:ilvl w:val="0"/>
          <w:numId w:val="48"/>
        </w:numPr>
        <w:rPr/>
      </w:pPr>
      <w:r>
        <w:rPr>
          <w:rStyle w:val="Strong"/>
        </w:rPr>
        <w:t>Arbitrary 33%:</w:t>
      </w:r>
      <w:r>
        <w:rPr/>
        <w:t xml:space="preserve"> Why 33%? Why not 25% or 40%? No engineering, legal, or financial rationale. Entirely arbitrary.</w:t>
      </w:r>
    </w:p>
    <w:p>
      <w:pPr>
        <w:pStyle w:val="BodyText"/>
        <w:numPr>
          <w:ilvl w:val="0"/>
          <w:numId w:val="48"/>
        </w:numPr>
        <w:rPr/>
      </w:pPr>
      <w:r>
        <w:rPr>
          <w:rStyle w:val="Strong"/>
        </w:rPr>
        <w:t>"Whatever percent" chaos:</w:t>
      </w:r>
      <w:r>
        <w:rPr/>
        <w:t xml:space="preserve"> Allows different percentages for different apartments. No uniformity. Benefits developers, not owners.</w:t>
      </w:r>
    </w:p>
    <w:p>
      <w:pPr>
        <w:pStyle w:val="BodyText"/>
        <w:numPr>
          <w:ilvl w:val="0"/>
          <w:numId w:val="48"/>
        </w:numPr>
        <w:rPr/>
      </w:pPr>
      <w:r>
        <w:rPr>
          <w:rStyle w:val="Strong"/>
        </w:rPr>
        <w:t>LCA excluded:</w:t>
      </w:r>
      <w:r>
        <w:rPr/>
        <w:t xml:space="preserve"> Limited Common Areas not included in UDI calculation. Allows promoter to carve out LCAs without affecting UDI, hiding the fraud.</w:t>
      </w:r>
    </w:p>
    <w:p>
      <w:pPr>
        <w:pStyle w:val="BodyText"/>
        <w:numPr>
          <w:ilvl w:val="0"/>
          <w:numId w:val="48"/>
        </w:numPr>
        <w:rPr/>
      </w:pPr>
      <w:r>
        <w:rPr>
          <w:rStyle w:val="Strong"/>
        </w:rPr>
        <w:t>No reference to 8 types of common areas:</w:t>
      </w:r>
      <w:r>
        <w:rPr/>
        <w:t xml:space="preserve"> Uses vague phrase "built-up portions of the common areas" without referencing any of them. Buyer has no idea what they are getting a share of.</w:t>
      </w:r>
    </w:p>
    <w:p>
      <w:pPr>
        <w:pStyle w:val="BodyText"/>
        <w:numPr>
          <w:ilvl w:val="0"/>
          <w:numId w:val="48"/>
        </w:numPr>
        <w:rPr/>
      </w:pPr>
      <w:r>
        <w:rPr>
          <w:rStyle w:val="Strong"/>
        </w:rPr>
        <w:t>Promoter manipulation:</w:t>
      </w:r>
      <w:r>
        <w:rPr/>
        <w:t xml:space="preserve"> Promoter can change percentages, dilute UDI, sell common areas.</w:t>
      </w:r>
    </w:p>
    <w:p>
      <w:pPr>
        <w:pStyle w:val="BodyText"/>
        <w:numPr>
          <w:ilvl w:val="0"/>
          <w:numId w:val="48"/>
        </w:numPr>
        <w:rPr/>
      </w:pPr>
      <w:r>
        <w:rPr>
          <w:rStyle w:val="Strong"/>
        </w:rPr>
        <w:t>Illegal allotments hidden:</w:t>
      </w:r>
      <w:r>
        <w:rPr/>
        <w:t xml:space="preserve"> 90% of buyers have no way to detect fraud.</w:t>
      </w:r>
    </w:p>
    <w:p>
      <w:pPr>
        <w:pStyle w:val="BodyText"/>
        <w:numPr>
          <w:ilvl w:val="0"/>
          <w:numId w:val="48"/>
        </w:numPr>
        <w:rPr/>
      </w:pPr>
      <w:r>
        <w:rPr>
          <w:rStyle w:val="Strong"/>
        </w:rPr>
        <w:t>Redevelopment disputes:</w:t>
      </w:r>
      <w:r>
        <w:rPr/>
        <w:t xml:space="preserve"> Incorrect UDI leads to intractable redevelopment disputes.</w:t>
      </w:r>
    </w:p>
    <w:p>
      <w:pPr>
        <w:pStyle w:val="Heading3"/>
        <w:numPr>
          <w:ilvl w:val="0"/>
          <w:numId w:val="0"/>
        </w:numPr>
        <w:ind w:hanging="0" w:start="0"/>
        <w:rPr/>
      </w:pPr>
      <w:bookmarkStart w:id="17" w:name="__RefHeading___Toc56056_880593128"/>
      <w:bookmarkEnd w:id="17"/>
      <w:r>
        <w:rPr/>
        <w:t>5. Atomic Changes Required</w:t>
      </w:r>
    </w:p>
    <w:p>
      <w:pPr>
        <w:pStyle w:val="BodyText"/>
        <w:rPr/>
      </w:pPr>
      <w:r>
        <w:rPr>
          <w:rStyle w:val="Strong"/>
        </w:rPr>
        <w:t>Change 1: Amend KAOMA#2(hh)(iii)</w:t>
      </w:r>
    </w:p>
    <w:p>
      <w:pPr>
        <w:pStyle w:val="BodyText"/>
        <w:rPr/>
      </w:pPr>
      <w:r>
        <w:rPr>
          <w:rStyle w:val="Emphasis"/>
        </w:rPr>
        <w:t>Delete:</w:t>
      </w:r>
      <w:r>
        <w:rPr/>
        <w:t xml:space="preserve"> "or whatever percent specified in the title deed."</w:t>
      </w:r>
    </w:p>
    <w:p>
      <w:pPr>
        <w:pStyle w:val="BodyText"/>
        <w:rPr/>
      </w:pPr>
      <w:r>
        <w:rPr>
          <w:rStyle w:val="Emphasis"/>
        </w:rPr>
        <w:t>Alternative:</w:t>
      </w:r>
      <w:r>
        <w:rPr/>
        <w:t xml:space="preserve"> Fix 33% (or specify a clear, non-arbitrary formula based on actual area).</w:t>
      </w:r>
    </w:p>
    <w:p>
      <w:pPr>
        <w:pStyle w:val="BodyText"/>
        <w:rPr/>
      </w:pPr>
      <w:r>
        <w:rPr>
          <w:rStyle w:val="Strong"/>
        </w:rPr>
        <w:t>Change 2: Amend KAOMA#11(3)</w:t>
      </w:r>
    </w:p>
    <w:p>
      <w:pPr>
        <w:pStyle w:val="BodyText"/>
        <w:rPr/>
      </w:pPr>
      <w:r>
        <w:rPr>
          <w:rStyle w:val="Emphasis"/>
        </w:rPr>
        <w:t>Add:</w:t>
      </w:r>
      <w:r>
        <w:rPr/>
        <w:t xml:space="preserve"> "The proportion of such undivided right, title and interest once determined and recorded in the declaration shall have a permanent character and shall not be altered except with the consent of all the apartment owners expressed in an amended declaration duly executed and registered in accordance with this Act."</w:t>
      </w:r>
    </w:p>
    <w:p>
      <w:pPr>
        <w:pStyle w:val="BodyText"/>
        <w:rPr/>
      </w:pPr>
      <w:r>
        <w:rPr>
          <w:rStyle w:val="Strong"/>
        </w:rPr>
        <w:t>Change 3: Add definition of LCA to KAOMA#2(i)</w:t>
      </w:r>
    </w:p>
    <w:p>
      <w:pPr>
        <w:pStyle w:val="BodyText"/>
        <w:rPr/>
      </w:pPr>
      <w:r>
        <w:rPr>
          <w:rStyle w:val="Emphasis"/>
        </w:rPr>
        <w:t>Add:</w:t>
      </w:r>
      <w:r>
        <w:rPr/>
        <w:t xml:space="preserve"> "Limited Common Areas means those common areas and facilities which are reserved for the exclusive use of one or more but not all apartment owners, as specified in the Declaration. LCA is a subset of common areas."</w:t>
      </w:r>
    </w:p>
    <w:p>
      <w:pPr>
        <w:pStyle w:val="BodyText"/>
        <w:rPr/>
      </w:pPr>
      <w:r>
        <w:rPr>
          <w:rStyle w:val="Strong"/>
        </w:rPr>
        <w:t>Change 4: Amend KAOMA#14(1)(f)</w:t>
      </w:r>
    </w:p>
    <w:p>
      <w:pPr>
        <w:pStyle w:val="BodyText"/>
        <w:rPr/>
      </w:pPr>
      <w:r>
        <w:rPr>
          <w:rStyle w:val="Emphasis"/>
        </w:rPr>
        <w:t>Add:</w:t>
      </w:r>
      <w:r>
        <w:rPr/>
        <w:t xml:space="preserve"> "including a detailed schedule of the common areas and facilities, specifying which of the 8 categories enumerated in section 2(i) are included, and the exact calculation of the proportion of undivided right, title and interest for each apartment."</w:t>
      </w:r>
    </w:p>
    <w:p>
      <w:pPr>
        <w:pStyle w:val="Heading3"/>
        <w:numPr>
          <w:ilvl w:val="2"/>
          <w:numId w:val="2"/>
        </w:numPr>
        <w:ind w:hanging="0" w:start="0"/>
        <w:rPr/>
      </w:pPr>
      <w:bookmarkStart w:id="18" w:name="__RefHeading___Toc56058_880593128"/>
      <w:bookmarkEnd w:id="18"/>
      <w:r>
        <w:rPr/>
        <w:t>6. Justification</w:t>
      </w:r>
    </w:p>
    <w:p>
      <w:pPr>
        <w:pStyle w:val="BodyText"/>
        <w:rPr/>
      </w:pPr>
      <w:r>
        <w:rPr/>
        <w:t>The 33% formula is not just a technical calculation—it is a powerful anti-fraud and social justice mechanism. Including LCAs in UDI exposes illegal allotments. Restores fair UDI to the 90% who suffered from dilution. Provides legal ammunition for victims to challenge illegal allotments.</w:t>
      </w:r>
    </w:p>
    <w:p>
      <w:pPr>
        <w:pStyle w:val="BodyText"/>
        <w:rPr/>
      </w:pPr>
      <w:r>
        <w:rPr>
          <w:rStyle w:val="Strong"/>
        </w:rPr>
        <w:t>Solution:</w:t>
      </w:r>
    </w:p>
    <w:p>
      <w:pPr>
        <w:pStyle w:val="BodyText"/>
        <w:numPr>
          <w:ilvl w:val="0"/>
          <w:numId w:val="8"/>
        </w:numPr>
        <w:rPr/>
      </w:pPr>
      <w:r>
        <w:rPr/>
        <w:t>#2(hh)(iii) → Delete "whatever percent." Fix 33% or define clear formula.</w:t>
      </w:r>
    </w:p>
    <w:p>
      <w:pPr>
        <w:pStyle w:val="BodyText"/>
        <w:numPr>
          <w:ilvl w:val="0"/>
          <w:numId w:val="8"/>
        </w:numPr>
        <w:rPr/>
      </w:pPr>
      <w:r>
        <w:rPr/>
        <w:t>#11(3) → Freeze UDI. Cannot be altered without unanimous consent.</w:t>
      </w:r>
    </w:p>
    <w:p>
      <w:pPr>
        <w:pStyle w:val="BodyText"/>
        <w:numPr>
          <w:ilvl w:val="0"/>
          <w:numId w:val="8"/>
        </w:numPr>
        <w:rPr/>
      </w:pPr>
      <w:r>
        <w:rPr/>
        <w:t>#2(i) → Define LCA. Include it in UDI calculation.</w:t>
      </w:r>
    </w:p>
    <w:p>
      <w:pPr>
        <w:pStyle w:val="BodyText"/>
        <w:numPr>
          <w:ilvl w:val="0"/>
          <w:numId w:val="8"/>
        </w:numPr>
        <w:rPr/>
      </w:pPr>
      <w:r>
        <w:rPr/>
        <w:t>#14(1)(f) → Detailed schedule of common areas. Exact UDI calculation.</w:t>
      </w:r>
    </w:p>
    <w:p>
      <w:pPr>
        <w:pStyle w:val="BodyText"/>
        <w:rPr/>
      </w:pPr>
      <w:r>
        <w:rPr>
          <w:rStyle w:val="Strong"/>
        </w:rPr>
        <w:t>Result:</w:t>
      </w:r>
      <w:r>
        <w:rPr/>
        <w:t xml:space="preserve"> Transparent, objective, non-manipulable UDI. Protects owners from fraud.</w:t>
      </w:r>
    </w:p>
    <w:p>
      <w:pPr>
        <w:pStyle w:val="HorizontalLine"/>
        <w:rPr/>
      </w:pPr>
      <w:r>
        <w:rPr/>
      </w:r>
    </w:p>
    <w:p>
      <w:pPr>
        <w:pStyle w:val="Heading2"/>
        <w:rPr/>
      </w:pPr>
      <w:bookmarkStart w:id="19" w:name="__RefHeading___Toc56060_880593128"/>
      <w:bookmarkEnd w:id="19"/>
      <w:r>
        <w:rPr/>
        <w:t>Appendix 3: The "DoD after OC" disaster</w:t>
      </w:r>
    </w:p>
    <w:p>
      <w:pPr>
        <w:pStyle w:val="Heading3"/>
        <w:numPr>
          <w:ilvl w:val="0"/>
          <w:numId w:val="2"/>
        </w:numPr>
        <w:ind w:hanging="0" w:start="0"/>
        <w:rPr/>
      </w:pPr>
      <w:bookmarkStart w:id="20" w:name="__RefHeading___Toc56062_880593128"/>
      <w:bookmarkEnd w:id="20"/>
      <w:r>
        <w:rPr/>
        <w:t>1. Problem Statement</w:t>
      </w:r>
    </w:p>
    <w:p>
      <w:pPr>
        <w:pStyle w:val="BodyText"/>
        <w:rPr/>
      </w:pPr>
      <w:r>
        <w:rPr/>
        <w:t>KAOMA#13(1) requires the Declaration within 60 days from the date of issuance of the Occupancy Certificate. This means bookings, construction, and possession all happen before the DoD is filed. The DoD defines the "property" and contains the table of all apartments and their LCAs. Its purpose is to "freeze" configuration before any bookings happen. By allowing it to be filed after the project is complete, KAOMA enables two of the most common frauds.</w:t>
      </w:r>
    </w:p>
    <w:p>
      <w:pPr>
        <w:pStyle w:val="Heading3"/>
        <w:numPr>
          <w:ilvl w:val="2"/>
          <w:numId w:val="2"/>
        </w:numPr>
        <w:ind w:hanging="0" w:start="0"/>
        <w:rPr/>
      </w:pPr>
      <w:bookmarkStart w:id="21" w:name="__RefHeading___Toc56064_880593128"/>
      <w:bookmarkEnd w:id="21"/>
      <w:r>
        <w:rPr/>
        <w:t>2. Sections Involved</w:t>
      </w:r>
    </w:p>
    <w:p>
      <w:pPr>
        <w:pStyle w:val="BodyText"/>
        <w:numPr>
          <w:ilvl w:val="0"/>
          <w:numId w:val="9"/>
        </w:numPr>
        <w:rPr/>
      </w:pPr>
      <w:r>
        <w:rPr/>
        <w:t>KAOMA#13(1): "The promoter shall submit to the competent authority a declaration in respect of the project... within sixty days from the date of issue of the Occupancy Certificate."</w:t>
      </w:r>
    </w:p>
    <w:p>
      <w:pPr>
        <w:pStyle w:val="BodyText"/>
        <w:numPr>
          <w:ilvl w:val="0"/>
          <w:numId w:val="9"/>
        </w:numPr>
        <w:rPr/>
      </w:pPr>
      <w:r>
        <w:rPr/>
        <w:t>KAOMA#14(1)(b): "the sanctioned plan of the project approved by the competent authority"</w:t>
      </w:r>
    </w:p>
    <w:p>
      <w:pPr>
        <w:pStyle w:val="BodyText"/>
        <w:numPr>
          <w:ilvl w:val="0"/>
          <w:numId w:val="9"/>
        </w:numPr>
        <w:rPr/>
      </w:pPr>
      <w:r>
        <w:rPr/>
        <w:t>KAOMA#14(1)(e): "a description of the common areas and facilities of the project, including limited common areas and facilities, if any"</w:t>
      </w:r>
    </w:p>
    <w:p>
      <w:pPr>
        <w:pStyle w:val="BodyText"/>
        <w:numPr>
          <w:ilvl w:val="0"/>
          <w:numId w:val="9"/>
        </w:numPr>
        <w:rPr/>
      </w:pPr>
      <w:r>
        <w:rPr/>
        <w:t>KAOMA#16(4)(a): Allows promoter to undertake further development if "such development forms part of the sanctioned plan disclosed in the declaration"</w:t>
      </w:r>
    </w:p>
    <w:p>
      <w:pPr>
        <w:pStyle w:val="Heading3"/>
        <w:numPr>
          <w:ilvl w:val="0"/>
          <w:numId w:val="0"/>
        </w:numPr>
        <w:ind w:hanging="0" w:start="0"/>
        <w:rPr/>
      </w:pPr>
      <w:bookmarkStart w:id="22" w:name="__RefHeading___Toc56066_880593128"/>
      <w:bookmarkEnd w:id="22"/>
      <w:r>
        <w:rPr/>
        <w:t>3. Causal Chain</w:t>
      </w:r>
    </w:p>
    <w:p>
      <w:pPr>
        <w:pStyle w:val="BodyText"/>
        <w:rPr/>
      </w:pPr>
      <w:r>
        <w:rPr>
          <w:rStyle w:val="Strong"/>
        </w:rPr>
        <w:t>Premise 1:</w:t>
      </w:r>
      <w:r>
        <w:rPr/>
        <w:t xml:space="preserve"> #13(1) requires DoD filed 60 days after OC.</w:t>
      </w:r>
    </w:p>
    <w:p>
      <w:pPr>
        <w:pStyle w:val="BodyText"/>
        <w:rPr/>
      </w:pPr>
      <w:r>
        <w:rPr>
          <w:rStyle w:val="Strong"/>
        </w:rPr>
        <w:t>Premise 2:</w:t>
      </w:r>
      <w:r>
        <w:rPr/>
        <w:t xml:space="preserve"> Bookings happen before DoD is filed.</w:t>
      </w:r>
    </w:p>
    <w:p>
      <w:pPr>
        <w:pStyle w:val="BodyText"/>
        <w:rPr/>
      </w:pPr>
      <w:r>
        <w:rPr>
          <w:rStyle w:val="Strong"/>
        </w:rPr>
        <w:t>Premise 3:</w:t>
      </w:r>
      <w:r>
        <w:rPr/>
        <w:t xml:space="preserve"> Construction happens before DoD is filed.</w:t>
      </w:r>
    </w:p>
    <w:p>
      <w:pPr>
        <w:pStyle w:val="BodyText"/>
        <w:rPr/>
      </w:pPr>
      <w:r>
        <w:rPr>
          <w:rStyle w:val="Strong"/>
        </w:rPr>
        <w:t>Premise 4:</w:t>
      </w:r>
      <w:r>
        <w:rPr/>
        <w:t xml:space="preserve"> Possession happens before DoD is filed.</w:t>
      </w:r>
    </w:p>
    <w:p>
      <w:pPr>
        <w:pStyle w:val="BodyText"/>
        <w:rPr/>
      </w:pPr>
      <w:r>
        <w:rPr>
          <w:rStyle w:val="Strong"/>
        </w:rPr>
        <w:t>∴</w:t>
      </w:r>
      <w:r>
        <w:rPr/>
        <w:t xml:space="preserve"> </w:t>
      </w:r>
      <w:r>
        <w:rPr/>
        <w:t>Project configuration is NOT frozen before bookings. ⇔ DoD's purpose is defeated.</w:t>
      </w:r>
    </w:p>
    <w:p>
      <w:pPr>
        <w:pStyle w:val="HorizontalLine"/>
        <w:rPr/>
      </w:pPr>
      <w:r>
        <w:rPr/>
      </w:r>
    </w:p>
    <w:p>
      <w:pPr>
        <w:pStyle w:val="BodyText"/>
        <w:rPr/>
      </w:pPr>
      <w:r>
        <w:rPr/>
        <w:t>1.1: #13(1) → DoD filed 60 days after OC.</w:t>
        <w:br/>
        <w:t>→ Bookings, construction, possession all happen before DoD.</w:t>
      </w:r>
    </w:p>
    <w:p>
      <w:pPr>
        <w:pStyle w:val="BodyText"/>
        <w:rPr/>
      </w:pPr>
      <w:r>
        <w:rPr/>
        <w:t>1.2: No DoD at booking → Project configuration not frozen.</w:t>
        <w:br/>
        <w:t>→ Builder can change plans during construction.</w:t>
      </w:r>
    </w:p>
    <w:p>
      <w:pPr>
        <w:pStyle w:val="BodyText"/>
        <w:rPr/>
      </w:pPr>
      <w:r>
        <w:rPr/>
        <w:t>1.3: Builder adds customers during construction.</w:t>
        <w:br/>
        <w:t>→ Original UDI diluted. Original owners discover only after possession.</w:t>
      </w:r>
    </w:p>
    <w:p>
      <w:pPr>
        <w:pStyle w:val="BodyText"/>
        <w:rPr/>
      </w:pPr>
      <w:r>
        <w:rPr/>
        <w:t>1.4: Builder changes LCAs during construction.</w:t>
        <w:br/>
        <w:t>→ Common areas carved out and sold. Remaining owners discover only after possession.</w:t>
      </w:r>
    </w:p>
    <w:p>
      <w:pPr>
        <w:pStyle w:val="BodyText"/>
        <w:rPr/>
      </w:pPr>
      <w:r>
        <w:rPr/>
        <w:t>1.5: DoD filed after possession → Only documents the fraud, does not prevent it.</w:t>
        <w:br/>
        <w:t>→ Buyers have no leverage. Builder is gone. Money is collected.</w:t>
      </w:r>
    </w:p>
    <w:p>
      <w:pPr>
        <w:pStyle w:val="BodyText"/>
        <w:rPr/>
      </w:pPr>
      <w:r>
        <w:rPr>
          <w:rStyle w:val="Strong"/>
        </w:rPr>
        <w:t>Final Consequence:</w:t>
      </w:r>
      <w:r>
        <w:rPr/>
        <w:t xml:space="preserve"> Two frauds enabled: (a) addition of customers; (b) change of LCAs. Buyers discover only after possession. No remedy except litigation—expensive, slow, uncertain.</w:t>
      </w:r>
    </w:p>
    <w:p>
      <w:pPr>
        <w:pStyle w:val="Heading3"/>
        <w:numPr>
          <w:ilvl w:val="2"/>
          <w:numId w:val="2"/>
        </w:numPr>
        <w:ind w:hanging="0" w:start="0"/>
        <w:rPr/>
      </w:pPr>
      <w:bookmarkStart w:id="23" w:name="__RefHeading___Toc56068_880593128"/>
      <w:bookmarkEnd w:id="23"/>
      <w:r>
        <w:rPr/>
        <w:t>4. Itemized Consequences</w:t>
      </w:r>
    </w:p>
    <w:p>
      <w:pPr>
        <w:pStyle w:val="BodyText"/>
        <w:numPr>
          <w:ilvl w:val="0"/>
          <w:numId w:val="10"/>
        </w:numPr>
        <w:rPr/>
      </w:pPr>
      <w:r>
        <w:rPr>
          <w:rStyle w:val="Strong"/>
        </w:rPr>
        <w:t>Fraud 1: Addition of customers.</w:t>
      </w:r>
      <w:r>
        <w:rPr/>
        <w:t xml:space="preserve"> Builder launches with 100 apartments. Adds 20 during construction. Original 100 owners' UDI diluted. Discover only after possession.</w:t>
      </w:r>
    </w:p>
    <w:p>
      <w:pPr>
        <w:pStyle w:val="BodyText"/>
        <w:numPr>
          <w:ilvl w:val="0"/>
          <w:numId w:val="10"/>
        </w:numPr>
        <w:rPr/>
      </w:pPr>
      <w:r>
        <w:rPr>
          <w:rStyle w:val="Strong"/>
        </w:rPr>
        <w:t>Fraud 2: Change of LCAs.</w:t>
      </w:r>
      <w:r>
        <w:rPr/>
        <w:t xml:space="preserve"> Builder carves common areas and sells them. Remaining buyers discover only after possession. Common areas reduced.</w:t>
      </w:r>
    </w:p>
    <w:p>
      <w:pPr>
        <w:pStyle w:val="BodyText"/>
        <w:numPr>
          <w:ilvl w:val="0"/>
          <w:numId w:val="10"/>
        </w:numPr>
        <w:rPr/>
      </w:pPr>
      <w:r>
        <w:rPr>
          <w:rStyle w:val="Strong"/>
        </w:rPr>
        <w:t>No leverage for buyers.</w:t>
      </w:r>
      <w:r>
        <w:rPr/>
        <w:t xml:space="preserve"> Builder gone. Money collected. DoD simply documents fraud.</w:t>
      </w:r>
    </w:p>
    <w:p>
      <w:pPr>
        <w:pStyle w:val="BodyText"/>
        <w:numPr>
          <w:ilvl w:val="0"/>
          <w:numId w:val="10"/>
        </w:numPr>
        <w:rPr/>
      </w:pPr>
      <w:r>
        <w:rPr>
          <w:rStyle w:val="Strong"/>
        </w:rPr>
        <w:t>Litigation only remedy.</w:t>
      </w:r>
      <w:r>
        <w:rPr/>
        <w:t xml:space="preserve"> Expensive, slow, uncertain. Most buyers cannot afford it.</w:t>
      </w:r>
    </w:p>
    <w:p>
      <w:pPr>
        <w:pStyle w:val="Heading3"/>
        <w:numPr>
          <w:ilvl w:val="0"/>
          <w:numId w:val="0"/>
        </w:numPr>
        <w:ind w:hanging="0" w:start="0"/>
        <w:rPr/>
      </w:pPr>
      <w:bookmarkStart w:id="24" w:name="__RefHeading___Toc56070_880593128"/>
      <w:bookmarkEnd w:id="24"/>
      <w:r>
        <w:rPr/>
        <w:t>5. Atomic Changes Required</w:t>
      </w:r>
    </w:p>
    <w:p>
      <w:pPr>
        <w:pStyle w:val="BodyText"/>
        <w:rPr/>
      </w:pPr>
      <w:r>
        <w:rPr>
          <w:rStyle w:val="Strong"/>
        </w:rPr>
        <w:t>Change 1: Amend KAOMA#13(1)</w:t>
      </w:r>
    </w:p>
    <w:p>
      <w:pPr>
        <w:pStyle w:val="BodyText"/>
        <w:rPr/>
      </w:pPr>
      <w:r>
        <w:rPr>
          <w:rStyle w:val="Emphasis"/>
        </w:rPr>
        <w:t>Replace:</w:t>
      </w:r>
      <w:r>
        <w:rPr/>
        <w:t xml:space="preserve"> "The promoter shall submit to the competent authority a declaration in respect of the project prior to the first booking, sale, allotment, or marketing of any apartment in the project, in such form, accompanied by such documents, fees and particulars as may be prescribed."</w:t>
      </w:r>
    </w:p>
    <w:p>
      <w:pPr>
        <w:pStyle w:val="BodyText"/>
        <w:rPr/>
      </w:pPr>
      <w:r>
        <w:rPr>
          <w:rStyle w:val="Strong"/>
        </w:rPr>
        <w:t>Change 2: New Section 13A</w:t>
      </w:r>
    </w:p>
    <w:p>
      <w:pPr>
        <w:pStyle w:val="BodyText"/>
        <w:rPr/>
      </w:pPr>
      <w:r>
        <w:rPr>
          <w:rStyle w:val="Emphasis"/>
        </w:rPr>
        <w:t>Add:</w:t>
      </w:r>
      <w:r>
        <w:rPr/>
        <w:t xml:space="preserve"> "13A. Registration of Declaration Before Booking. (1) No promoter shall market, advertise, book, sell, or allot any apartment in a project unless the declaration has been submitted to the competent authority and has been recorded by it under section 13. (2) Any booking, sale, or allotment made in contravention of sub-section (1) shall be void ab initio. (3) The promoter shall, before filing the declaration under section 13, obtain the consent of the Real Estate Regulatory Authority and the local authority that the proposed declaration is consistent with the sanctioned plan and the RERA registration."</w:t>
      </w:r>
    </w:p>
    <w:p>
      <w:pPr>
        <w:pStyle w:val="Heading3"/>
        <w:numPr>
          <w:ilvl w:val="2"/>
          <w:numId w:val="2"/>
        </w:numPr>
        <w:ind w:hanging="0" w:start="0"/>
        <w:rPr/>
      </w:pPr>
      <w:bookmarkStart w:id="25" w:name="__RefHeading___Toc56072_880593128"/>
      <w:bookmarkEnd w:id="25"/>
      <w:r>
        <w:rPr/>
        <w:t>6. Justification</w:t>
      </w:r>
    </w:p>
    <w:p>
      <w:pPr>
        <w:pStyle w:val="BodyText"/>
        <w:rPr/>
      </w:pPr>
      <w:r>
        <w:rPr/>
        <w:t>The DoD is the foundational document of an apartment project. Its purpose is to freeze configuration before bookings. Requiring it to be filed before bookings protects buyers, prevents litigation, and establishes "notice."</w:t>
      </w:r>
    </w:p>
    <w:p>
      <w:pPr>
        <w:pStyle w:val="BodyText"/>
        <w:rPr/>
      </w:pPr>
      <w:r>
        <w:rPr/>
        <w:t>This is not a new principle—it is exactly how KAOA worked for 53 years, and it is how RERA requires project registration before booking. KAOMA must align with both.</w:t>
      </w:r>
    </w:p>
    <w:p>
      <w:pPr>
        <w:pStyle w:val="HorizontalLine"/>
        <w:rPr/>
      </w:pPr>
      <w:r>
        <w:rPr/>
      </w:r>
    </w:p>
    <w:p>
      <w:pPr>
        <w:pStyle w:val="Heading2"/>
        <w:rPr/>
      </w:pPr>
      <w:bookmarkStart w:id="26" w:name="__RefHeading___Toc56074_880593128"/>
      <w:bookmarkEnd w:id="26"/>
      <w:r>
        <w:rPr/>
        <w:t>Appendix 4: The buyer-executed DoD trap</w:t>
      </w:r>
    </w:p>
    <w:p>
      <w:pPr>
        <w:pStyle w:val="Heading3"/>
        <w:numPr>
          <w:ilvl w:val="0"/>
          <w:numId w:val="2"/>
        </w:numPr>
        <w:ind w:hanging="0" w:start="0"/>
        <w:rPr/>
      </w:pPr>
      <w:bookmarkStart w:id="27" w:name="__RefHeading___Toc56076_880593128"/>
      <w:bookmarkEnd w:id="27"/>
      <w:r>
        <w:rPr/>
        <w:t>1. Problem Statement</w:t>
      </w:r>
    </w:p>
    <w:p>
      <w:pPr>
        <w:pStyle w:val="BodyText"/>
        <w:rPr/>
      </w:pPr>
      <w:r>
        <w:rPr/>
        <w:t>KAOMA#13(2) allows the association to submit the Declaration with the CA's permission if the promoter "fails or is unable." This re-legalizes buyer-executed DoDs (which are void ab initio) without adequate safeguards. Only the promoter can convey title. Only the promoter can execute the DoD.</w:t>
      </w:r>
    </w:p>
    <w:p>
      <w:pPr>
        <w:pStyle w:val="Heading3"/>
        <w:numPr>
          <w:ilvl w:val="2"/>
          <w:numId w:val="2"/>
        </w:numPr>
        <w:ind w:hanging="0" w:start="0"/>
        <w:rPr/>
      </w:pPr>
      <w:bookmarkStart w:id="28" w:name="__RefHeading___Toc56078_880593128"/>
      <w:bookmarkEnd w:id="28"/>
      <w:r>
        <w:rPr/>
        <w:t>2. Sections Involved</w:t>
      </w:r>
    </w:p>
    <w:p>
      <w:pPr>
        <w:pStyle w:val="BodyText"/>
        <w:numPr>
          <w:ilvl w:val="0"/>
          <w:numId w:val="11"/>
        </w:numPr>
        <w:rPr/>
      </w:pPr>
      <w:r>
        <w:rPr/>
        <w:t>KAOMA#13(2): "Where apartments in a project completed before the commencement of this Act have already been conveyed to the apartment owners and the promoter fails or is unable to submit the declaration for reasons beyond the control of the apartment owners, the association of apartment owners may, with the permission of the competent authority, submit the declaration..."</w:t>
      </w:r>
    </w:p>
    <w:p>
      <w:pPr>
        <w:pStyle w:val="BodyText"/>
        <w:numPr>
          <w:ilvl w:val="0"/>
          <w:numId w:val="11"/>
        </w:numPr>
        <w:rPr/>
      </w:pPr>
      <w:r>
        <w:rPr/>
        <w:t>KAOMA#13(3): "The competent authority shall, after scrutiny of the declaration submitted under sub-section (1) or sub-section (2), record the same..."</w:t>
      </w:r>
    </w:p>
    <w:p>
      <w:pPr>
        <w:pStyle w:val="BodyText"/>
        <w:numPr>
          <w:ilvl w:val="0"/>
          <w:numId w:val="11"/>
        </w:numPr>
        <w:rPr/>
      </w:pPr>
      <w:r>
        <w:rPr/>
        <w:t>KAOMA#22(1): Application for registration of association—unclear who submits.</w:t>
      </w:r>
    </w:p>
    <w:p>
      <w:pPr>
        <w:pStyle w:val="Heading3"/>
        <w:numPr>
          <w:ilvl w:val="0"/>
          <w:numId w:val="0"/>
        </w:numPr>
        <w:ind w:hanging="0" w:start="0"/>
        <w:rPr/>
      </w:pPr>
      <w:bookmarkStart w:id="29" w:name="__RefHeading___Toc56080_880593128"/>
      <w:bookmarkEnd w:id="29"/>
      <w:r>
        <w:rPr/>
        <w:t>3. Causal Chain</w:t>
      </w:r>
    </w:p>
    <w:p>
      <w:pPr>
        <w:pStyle w:val="BodyText"/>
        <w:rPr/>
      </w:pPr>
      <w:r>
        <w:rPr>
          <w:rStyle w:val="Strong"/>
        </w:rPr>
        <w:t>Premise 1:</w:t>
      </w:r>
      <w:r>
        <w:rPr/>
        <w:t xml:space="preserve"> #13(2) allows association to submit DoD with CA permission.</w:t>
      </w:r>
    </w:p>
    <w:p>
      <w:pPr>
        <w:pStyle w:val="BodyText"/>
        <w:rPr/>
      </w:pPr>
      <w:r>
        <w:rPr>
          <w:rStyle w:val="Strong"/>
        </w:rPr>
        <w:t>Premise 2:</w:t>
      </w:r>
      <w:r>
        <w:rPr/>
        <w:t xml:space="preserve"> Buyer-executed DoD is void ab initio (only promoter can convey title).</w:t>
      </w:r>
    </w:p>
    <w:p>
      <w:pPr>
        <w:pStyle w:val="BodyText"/>
        <w:rPr/>
      </w:pPr>
      <w:r>
        <w:rPr>
          <w:rStyle w:val="Strong"/>
        </w:rPr>
        <w:t>Premise 3:</w:t>
      </w:r>
      <w:r>
        <w:rPr/>
        <w:t xml:space="preserve"> CA may grant permission without adequate verification.</w:t>
      </w:r>
    </w:p>
    <w:p>
      <w:pPr>
        <w:pStyle w:val="BodyText"/>
        <w:rPr/>
      </w:pPr>
      <w:r>
        <w:rPr>
          <w:rStyle w:val="Strong"/>
        </w:rPr>
        <w:t>∴</w:t>
      </w:r>
      <w:r>
        <w:rPr/>
        <w:t xml:space="preserve"> </w:t>
      </w:r>
      <w:r>
        <w:rPr/>
        <w:t>Void documents become "valid." ⇔ Defective titles continue.</w:t>
      </w:r>
    </w:p>
    <w:p>
      <w:pPr>
        <w:pStyle w:val="HorizontalLine"/>
        <w:rPr/>
      </w:pPr>
      <w:r>
        <w:rPr/>
      </w:r>
    </w:p>
    <w:p>
      <w:pPr>
        <w:pStyle w:val="BodyText"/>
        <w:rPr/>
      </w:pPr>
      <w:r>
        <w:rPr/>
        <w:t>1.1: #13(2) → Association may submit DoD with CA permission.</w:t>
        <w:br/>
        <w:t>→ Buyer-executed DoD (void ab initio) can be "validated."</w:t>
      </w:r>
    </w:p>
    <w:p>
      <w:pPr>
        <w:pStyle w:val="BodyText"/>
        <w:rPr/>
      </w:pPr>
      <w:r>
        <w:rPr/>
        <w:t>1.2: CA may grant permission without verifying promoter's genuine inability.</w:t>
        <w:br/>
        <w:t>→ Promoter who is able but unwilling can simply refuse. CA may still grant permission.</w:t>
      </w:r>
    </w:p>
    <w:p>
      <w:pPr>
        <w:pStyle w:val="BodyText"/>
        <w:rPr/>
      </w:pPr>
      <w:r>
        <w:rPr/>
        <w:t>1.3: No verification of title documents → Association may not have original documents.</w:t>
        <w:br/>
        <w:t>→ DoD based on incomplete information. CA may record it without verifying title.</w:t>
      </w:r>
    </w:p>
    <w:p>
      <w:pPr>
        <w:pStyle w:val="BodyText"/>
        <w:rPr/>
      </w:pPr>
      <w:r>
        <w:rPr/>
        <w:t>1.4: Fraud incentivized → Builders continue selling without DoD.</w:t>
        <w:br/>
        <w:t>→ Knowing association can "fix" it later. ∴ Non-compliance incentivized.</w:t>
      </w:r>
    </w:p>
    <w:p>
      <w:pPr>
        <w:pStyle w:val="BodyText"/>
        <w:rPr/>
      </w:pPr>
      <w:r>
        <w:rPr/>
        <w:t>1.5: Void documents become "valid" → Defective titles continue.</w:t>
        <w:br/>
        <w:t>→ Contagion of defective titles. System perpetuates its own dysfunction.</w:t>
      </w:r>
    </w:p>
    <w:p>
      <w:pPr>
        <w:pStyle w:val="BodyText"/>
        <w:rPr/>
      </w:pPr>
      <w:r>
        <w:rPr>
          <w:rStyle w:val="Strong"/>
        </w:rPr>
        <w:t>Final Consequence:</w:t>
      </w:r>
      <w:r>
        <w:rPr/>
        <w:t xml:space="preserve"> Buyer-executed DoDs (void ab initio) become "valid" through CA permission without adequate safeguards. Fraud continues. Defective titles proliferate.</w:t>
      </w:r>
    </w:p>
    <w:p>
      <w:pPr>
        <w:pStyle w:val="Heading3"/>
        <w:numPr>
          <w:ilvl w:val="2"/>
          <w:numId w:val="2"/>
        </w:numPr>
        <w:ind w:hanging="0" w:start="0"/>
        <w:rPr/>
      </w:pPr>
      <w:bookmarkStart w:id="30" w:name="__RefHeading___Toc56082_880593128"/>
      <w:bookmarkEnd w:id="30"/>
      <w:r>
        <w:rPr/>
        <w:t>4. Itemized Consequences</w:t>
      </w:r>
    </w:p>
    <w:p>
      <w:pPr>
        <w:pStyle w:val="BodyText"/>
        <w:numPr>
          <w:ilvl w:val="0"/>
          <w:numId w:val="12"/>
        </w:numPr>
        <w:rPr/>
      </w:pPr>
      <w:r>
        <w:rPr>
          <w:rStyle w:val="Strong"/>
        </w:rPr>
        <w:t>Void documents become "valid":</w:t>
      </w:r>
      <w:r>
        <w:rPr/>
        <w:t xml:space="preserve"> A DoD executed by buyers is void ab initio. Only promoter can execute it. CA validating a void document.</w:t>
      </w:r>
    </w:p>
    <w:p>
      <w:pPr>
        <w:pStyle w:val="BodyText"/>
        <w:numPr>
          <w:ilvl w:val="0"/>
          <w:numId w:val="12"/>
        </w:numPr>
        <w:rPr/>
      </w:pPr>
      <w:r>
        <w:rPr>
          <w:rStyle w:val="Strong"/>
        </w:rPr>
        <w:t>No verification of promoter's inability:</w:t>
      </w:r>
      <w:r>
        <w:rPr/>
        <w:t xml:space="preserve"> CA may grant permission without verifying genuine inability.</w:t>
      </w:r>
    </w:p>
    <w:p>
      <w:pPr>
        <w:pStyle w:val="BodyText"/>
        <w:numPr>
          <w:ilvl w:val="0"/>
          <w:numId w:val="12"/>
        </w:numPr>
        <w:rPr/>
      </w:pPr>
      <w:r>
        <w:rPr>
          <w:rStyle w:val="Strong"/>
        </w:rPr>
        <w:t>No evidence of title:</w:t>
      </w:r>
      <w:r>
        <w:rPr/>
        <w:t xml:space="preserve"> Association may not have original title documents. DoD based on incomplete information.</w:t>
      </w:r>
    </w:p>
    <w:p>
      <w:pPr>
        <w:pStyle w:val="BodyText"/>
        <w:numPr>
          <w:ilvl w:val="0"/>
          <w:numId w:val="12"/>
        </w:numPr>
        <w:rPr/>
      </w:pPr>
      <w:r>
        <w:rPr>
          <w:rStyle w:val="Strong"/>
        </w:rPr>
        <w:t>Fraud continuation:</w:t>
      </w:r>
      <w:r>
        <w:rPr/>
        <w:t xml:space="preserve"> Builders continue illegal practice, knowing association can "fix" it later.</w:t>
      </w:r>
    </w:p>
    <w:p>
      <w:pPr>
        <w:pStyle w:val="BodyText"/>
        <w:numPr>
          <w:ilvl w:val="0"/>
          <w:numId w:val="12"/>
        </w:numPr>
        <w:rPr/>
      </w:pPr>
      <w:r>
        <w:rPr>
          <w:rStyle w:val="Strong"/>
        </w:rPr>
        <w:t>Contagion of defective titles:</w:t>
      </w:r>
      <w:r>
        <w:rPr/>
        <w:t xml:space="preserve"> Each "regularized" buyer-executed DoD becomes a precedent.</w:t>
      </w:r>
    </w:p>
    <w:p>
      <w:pPr>
        <w:pStyle w:val="BodyText"/>
        <w:numPr>
          <w:ilvl w:val="0"/>
          <w:numId w:val="12"/>
        </w:numPr>
        <w:rPr/>
      </w:pPr>
      <w:r>
        <w:rPr>
          <w:rStyle w:val="Strong"/>
        </w:rPr>
        <w:t>Buyers execute documents they have no authority to execute:</w:t>
      </w:r>
      <w:r>
        <w:rPr/>
        <w:t xml:space="preserve"> Nemo dat principle violated.</w:t>
      </w:r>
    </w:p>
    <w:p>
      <w:pPr>
        <w:pStyle w:val="Heading3"/>
        <w:numPr>
          <w:ilvl w:val="0"/>
          <w:numId w:val="0"/>
        </w:numPr>
        <w:ind w:hanging="0" w:start="0"/>
        <w:rPr/>
      </w:pPr>
      <w:bookmarkStart w:id="31" w:name="__RefHeading___Toc56084_880593128"/>
      <w:bookmarkEnd w:id="31"/>
      <w:r>
        <w:rPr/>
        <w:t>5. Atomic Changes Required</w:t>
      </w:r>
    </w:p>
    <w:p>
      <w:pPr>
        <w:pStyle w:val="BodyText"/>
        <w:rPr/>
      </w:pPr>
      <w:r>
        <w:rPr>
          <w:rStyle w:val="Strong"/>
        </w:rPr>
        <w:t>Change 1: Amend KAOMA#13(2)</w:t>
      </w:r>
    </w:p>
    <w:p>
      <w:pPr>
        <w:pStyle w:val="BodyText"/>
        <w:rPr/>
      </w:pPr>
      <w:r>
        <w:rPr>
          <w:rStyle w:val="Emphasis"/>
        </w:rPr>
        <w:t>Add verification requirements:</w:t>
      </w:r>
      <w:r>
        <w:rPr/>
        <w:br/>
        <w:t>"The Competent Authority shall grant such permission only after:</w:t>
        <w:br/>
        <w:t>(a) verifying that the promoter is genuinely unable to comply (including cases of death, winding-up, bankruptcy, or untraceable status) and that the association has made reasonable efforts to locate the promoter;</w:t>
        <w:br/>
        <w:t>(b) verifying that the association has obtained the consent of not less than seventy-five percent of the apartment owners;</w:t>
        <w:br/>
        <w:t>(c) verifying that the association has in its possession the original title documents, sanctioned plans, and other records necessary to prepare the declaration;</w:t>
        <w:br/>
        <w:t>(d) verifying that the proposed declaration is consistent with the sanctioned plan and the RERA records; and</w:t>
        <w:br/>
        <w:t>(e) recording the reasons for granting such permission in a public register."</w:t>
      </w:r>
    </w:p>
    <w:p>
      <w:pPr>
        <w:pStyle w:val="BodyText"/>
        <w:rPr/>
      </w:pPr>
      <w:r>
        <w:rPr>
          <w:rStyle w:val="Strong"/>
        </w:rPr>
        <w:t>Change 2: Add to KAOMA#13(2)</w:t>
      </w:r>
    </w:p>
    <w:p>
      <w:pPr>
        <w:pStyle w:val="BodyText"/>
        <w:rPr/>
      </w:pPr>
      <w:r>
        <w:rPr>
          <w:rStyle w:val="Emphasis"/>
        </w:rPr>
        <w:t>Add:</w:t>
      </w:r>
      <w:r>
        <w:rPr/>
        <w:t xml:space="preserve"> "No such permission shall be granted where the promoter is able but unwilling to submit the declaration."</w:t>
      </w:r>
    </w:p>
    <w:p>
      <w:pPr>
        <w:pStyle w:val="Heading3"/>
        <w:numPr>
          <w:ilvl w:val="2"/>
          <w:numId w:val="2"/>
        </w:numPr>
        <w:ind w:hanging="0" w:start="0"/>
        <w:rPr/>
      </w:pPr>
      <w:bookmarkStart w:id="32" w:name="__RefHeading___Toc56086_880593128"/>
      <w:bookmarkEnd w:id="32"/>
      <w:r>
        <w:rPr/>
        <w:t>6. Justification</w:t>
      </w:r>
    </w:p>
    <w:p>
      <w:pPr>
        <w:pStyle w:val="BodyText"/>
        <w:rPr/>
      </w:pPr>
      <w:r>
        <w:rPr/>
        <w:t>Allowing buyer-executed DoDs without adequate safeguards is a recipe for continued fraud. The CA must verify:</w:t>
      </w:r>
    </w:p>
    <w:p>
      <w:pPr>
        <w:pStyle w:val="BodyText"/>
        <w:numPr>
          <w:ilvl w:val="0"/>
          <w:numId w:val="13"/>
        </w:numPr>
        <w:rPr/>
      </w:pPr>
      <w:r>
        <w:rPr/>
        <w:t>Genuine inability of the promoter (not just unwillingness)</w:t>
      </w:r>
    </w:p>
    <w:p>
      <w:pPr>
        <w:pStyle w:val="BodyText"/>
        <w:numPr>
          <w:ilvl w:val="0"/>
          <w:numId w:val="13"/>
        </w:numPr>
        <w:rPr/>
      </w:pPr>
      <w:r>
        <w:rPr/>
        <w:t>Consent of a super-majority of owners</w:t>
      </w:r>
    </w:p>
    <w:p>
      <w:pPr>
        <w:pStyle w:val="BodyText"/>
        <w:numPr>
          <w:ilvl w:val="0"/>
          <w:numId w:val="13"/>
        </w:numPr>
        <w:rPr/>
      </w:pPr>
      <w:r>
        <w:rPr/>
        <w:t>Availability of original documents</w:t>
      </w:r>
    </w:p>
    <w:p>
      <w:pPr>
        <w:pStyle w:val="BodyText"/>
        <w:numPr>
          <w:ilvl w:val="0"/>
          <w:numId w:val="13"/>
        </w:numPr>
        <w:rPr/>
      </w:pPr>
      <w:r>
        <w:rPr/>
        <w:t>Consistency with sanctioned plan and RERA records</w:t>
      </w:r>
    </w:p>
    <w:p>
      <w:pPr>
        <w:pStyle w:val="BodyText"/>
        <w:numPr>
          <w:ilvl w:val="0"/>
          <w:numId w:val="13"/>
        </w:numPr>
        <w:rPr/>
      </w:pPr>
      <w:r>
        <w:rPr/>
        <w:t>Recording of reasons for transparency</w:t>
      </w:r>
    </w:p>
    <w:p>
      <w:pPr>
        <w:pStyle w:val="BodyText"/>
        <w:rPr/>
      </w:pPr>
      <w:r>
        <w:rPr/>
        <w:t>Without these safeguards, KAOMA#13(2) becomes a legal loophole for builders to continue the illegal practice of selling apartments without DoD.</w:t>
      </w:r>
    </w:p>
    <w:p>
      <w:pPr>
        <w:pStyle w:val="HorizontalLine"/>
        <w:rPr/>
      </w:pPr>
      <w:r>
        <w:rPr/>
      </w:r>
    </w:p>
    <w:p>
      <w:pPr>
        <w:pStyle w:val="Heading2"/>
        <w:rPr/>
      </w:pPr>
      <w:bookmarkStart w:id="33" w:name="__RefHeading___Toc56088_880593128"/>
      <w:bookmarkEnd w:id="33"/>
      <w:r>
        <w:rPr/>
        <w:t>Appendix 5: The passive competent authority</w:t>
      </w:r>
    </w:p>
    <w:p>
      <w:pPr>
        <w:pStyle w:val="Heading3"/>
        <w:numPr>
          <w:ilvl w:val="0"/>
          <w:numId w:val="2"/>
        </w:numPr>
        <w:ind w:hanging="0" w:start="0"/>
        <w:rPr/>
      </w:pPr>
      <w:bookmarkStart w:id="34" w:name="__RefHeading___Toc56090_880593128"/>
      <w:bookmarkEnd w:id="34"/>
      <w:r>
        <w:rPr/>
        <w:t>1. Problem Statement</w:t>
      </w:r>
    </w:p>
    <w:p>
      <w:pPr>
        <w:pStyle w:val="BodyText"/>
        <w:rPr/>
      </w:pPr>
      <w:r>
        <w:rPr/>
        <w:t>Under KAOA, the Competent Authority (RoCS) had no real powers—only filing duties. KAOMA gives the CA extensive powers under Sections 40, 41, and 42. However, the CA is not required to VERIFY any document before recording it. The CA merely "scrutinizes" and "records." This replicates the KAOA "file and forget" culture.</w:t>
      </w:r>
    </w:p>
    <w:p>
      <w:pPr>
        <w:pStyle w:val="Heading3"/>
        <w:numPr>
          <w:ilvl w:val="2"/>
          <w:numId w:val="2"/>
        </w:numPr>
        <w:ind w:hanging="0" w:start="0"/>
        <w:rPr/>
      </w:pPr>
      <w:bookmarkStart w:id="35" w:name="__RefHeading___Toc56092_880593128"/>
      <w:bookmarkEnd w:id="35"/>
      <w:r>
        <w:rPr/>
        <w:t>2. Sections Involved</w:t>
      </w:r>
    </w:p>
    <w:p>
      <w:pPr>
        <w:pStyle w:val="BodyText"/>
        <w:numPr>
          <w:ilvl w:val="0"/>
          <w:numId w:val="50"/>
        </w:numPr>
        <w:rPr/>
      </w:pPr>
      <w:r>
        <w:rPr/>
        <w:t>KAOMA#13(4): "Where the competent authority finds that the declaration does not conform to the provisions of this Act or the rules made thereunder, it shall return the declaration..."</w:t>
      </w:r>
    </w:p>
    <w:p>
      <w:pPr>
        <w:pStyle w:val="BodyText"/>
        <w:numPr>
          <w:ilvl w:val="0"/>
          <w:numId w:val="50"/>
        </w:numPr>
        <w:rPr/>
      </w:pPr>
      <w:r>
        <w:rPr/>
        <w:t>KAOMA#14: Contents of Declaration (no verification requirement)</w:t>
      </w:r>
    </w:p>
    <w:p>
      <w:pPr>
        <w:pStyle w:val="BodyText"/>
        <w:numPr>
          <w:ilvl w:val="0"/>
          <w:numId w:val="50"/>
        </w:numPr>
        <w:rPr/>
      </w:pPr>
      <w:r>
        <w:rPr/>
        <w:t>KAOMA#41(b): "to receive, scrutinise and maintain a register of declarations"</w:t>
      </w:r>
    </w:p>
    <w:p>
      <w:pPr>
        <w:pStyle w:val="BodyText"/>
        <w:numPr>
          <w:ilvl w:val="0"/>
          <w:numId w:val="50"/>
        </w:numPr>
        <w:rPr/>
      </w:pPr>
      <w:r>
        <w:rPr/>
        <w:t>KAOMA#41(h): "to verify that the land of the project or phase is free from undisclosed encumbrances" (but no mechanism specified)</w:t>
      </w:r>
    </w:p>
    <w:p>
      <w:pPr>
        <w:pStyle w:val="BodyText"/>
        <w:numPr>
          <w:ilvl w:val="0"/>
          <w:numId w:val="50"/>
        </w:numPr>
        <w:rPr/>
      </w:pPr>
      <w:r>
        <w:rPr/>
        <w:t>KAOMA#40(a): "to require any promoter, association, federation or apartment owner... to furnish such information, documents or explanation"</w:t>
      </w:r>
    </w:p>
    <w:p>
      <w:pPr>
        <w:pStyle w:val="BodyText"/>
        <w:numPr>
          <w:ilvl w:val="0"/>
          <w:numId w:val="50"/>
        </w:numPr>
        <w:rPr/>
      </w:pPr>
      <w:r>
        <w:rPr/>
        <w:t>KAOMA#42: Powers of Civil Court (but no duty to use them)</w:t>
      </w:r>
    </w:p>
    <w:p>
      <w:pPr>
        <w:pStyle w:val="Heading3"/>
        <w:numPr>
          <w:ilvl w:val="0"/>
          <w:numId w:val="0"/>
        </w:numPr>
        <w:ind w:hanging="0" w:start="0"/>
        <w:rPr/>
      </w:pPr>
      <w:bookmarkStart w:id="36" w:name="__RefHeading___Toc56094_880593128"/>
      <w:bookmarkEnd w:id="36"/>
      <w:r>
        <w:rPr/>
        <w:t>3. Causal Chain</w:t>
      </w:r>
    </w:p>
    <w:p>
      <w:pPr>
        <w:pStyle w:val="BodyText"/>
        <w:rPr/>
      </w:pPr>
      <w:r>
        <w:rPr>
          <w:rStyle w:val="Strong"/>
        </w:rPr>
        <w:t>Premise 1:</w:t>
      </w:r>
      <w:r>
        <w:rPr/>
        <w:t xml:space="preserve"> #13(4), #14 give CA power to "scrutinize" but no duty to verify.</w:t>
      </w:r>
    </w:p>
    <w:p>
      <w:pPr>
        <w:pStyle w:val="BodyText"/>
        <w:rPr/>
      </w:pPr>
      <w:r>
        <w:rPr>
          <w:rStyle w:val="Strong"/>
        </w:rPr>
        <w:t>Premise 2:</w:t>
      </w:r>
      <w:r>
        <w:rPr/>
        <w:t xml:space="preserve"> CA merely "records" what is submitted.</w:t>
      </w:r>
    </w:p>
    <w:p>
      <w:pPr>
        <w:pStyle w:val="BodyText"/>
        <w:rPr/>
      </w:pPr>
      <w:r>
        <w:rPr>
          <w:rStyle w:val="Strong"/>
        </w:rPr>
        <w:t>Premise 3:</w:t>
      </w:r>
      <w:r>
        <w:rPr/>
        <w:t xml:space="preserve"> No verification of title, approvals, areas, UDI, encumbrances.</w:t>
      </w:r>
    </w:p>
    <w:p>
      <w:pPr>
        <w:pStyle w:val="BodyText"/>
        <w:rPr/>
      </w:pPr>
      <w:r>
        <w:rPr>
          <w:rStyle w:val="Strong"/>
        </w:rPr>
        <w:t>∴</w:t>
      </w:r>
      <w:r>
        <w:rPr/>
        <w:t xml:space="preserve"> </w:t>
      </w:r>
      <w:r>
        <w:rPr/>
        <w:t>Same "file and forget" culture as KAOA. ∵ Title defects passed to owners.</w:t>
      </w:r>
    </w:p>
    <w:p>
      <w:pPr>
        <w:pStyle w:val="HorizontalLine"/>
        <w:rPr/>
      </w:pPr>
      <w:r>
        <w:rPr/>
      </w:r>
    </w:p>
    <w:p>
      <w:pPr>
        <w:pStyle w:val="BodyText"/>
        <w:rPr/>
      </w:pPr>
      <w:r>
        <w:rPr/>
        <w:t>1.1: CA "scrutinizes" but does not verify.</w:t>
        <w:br/>
        <w:t>→ No verification of title, approvals, areas, UDI, encumbrances.</w:t>
      </w:r>
    </w:p>
    <w:p>
      <w:pPr>
        <w:pStyle w:val="BodyText"/>
        <w:rPr/>
      </w:pPr>
      <w:r>
        <w:rPr/>
        <w:t>1.2: No verification of land title → Promoters register declarations on encumbered land.</w:t>
        <w:br/>
        <w:t>→ Title defects passed to owners. Owners discover when trying to sell/mortgage.</w:t>
      </w:r>
    </w:p>
    <w:p>
      <w:pPr>
        <w:pStyle w:val="BodyText"/>
        <w:rPr/>
      </w:pPr>
      <w:r>
        <w:rPr/>
        <w:t>1.3: No verification of sanctioned plan approvals → Builder submits false/incomplete approvals.</w:t>
        <w:br/>
        <w:t>→ Illegal construction goes undetected. Owners discover violations after possession.</w:t>
      </w:r>
    </w:p>
    <w:p>
      <w:pPr>
        <w:pStyle w:val="BodyText"/>
        <w:rPr/>
      </w:pPr>
      <w:r>
        <w:rPr/>
        <w:t>1.4: No verification of UDI calculations → UDI manipulated by promoter.</w:t>
        <w:br/>
        <w:t>→ Original owners' UDI diluted. Fraud (sale of common areas) cannot be detected.</w:t>
      </w:r>
    </w:p>
    <w:p>
      <w:pPr>
        <w:pStyle w:val="BodyText"/>
        <w:rPr/>
      </w:pPr>
      <w:r>
        <w:rPr/>
        <w:t>1.5: No verification of encumbrances → Encumbrances hidden.</w:t>
        <w:br/>
        <w:t>→ Owners inherit encumbrances. Title defects.</w:t>
      </w:r>
    </w:p>
    <w:p>
      <w:pPr>
        <w:pStyle w:val="BodyText"/>
        <w:rPr/>
      </w:pPr>
      <w:r>
        <w:rPr/>
        <w:t>1.6: No Certificate of Compliance → No document owners can rely on to prove clean title.</w:t>
        <w:br/>
        <w:t>→ Title always in question.</w:t>
      </w:r>
    </w:p>
    <w:p>
      <w:pPr>
        <w:pStyle w:val="BodyText"/>
        <w:rPr/>
      </w:pPr>
      <w:r>
        <w:rPr/>
        <w:t>1.7: Reactive, not proactive → Fraud detected only after it happens.</w:t>
        <w:br/>
        <w:t>→ Prevention impossible. System designed to catch fraud after the fact.</w:t>
      </w:r>
    </w:p>
    <w:p>
      <w:pPr>
        <w:pStyle w:val="BodyText"/>
        <w:rPr/>
      </w:pPr>
      <w:r>
        <w:rPr>
          <w:rStyle w:val="Strong"/>
        </w:rPr>
        <w:t>Final Consequence:</w:t>
      </w:r>
      <w:r>
        <w:rPr/>
        <w:t xml:space="preserve"> Same "file and forget" dysfunction as KAOA. Title defects passed to owners. Fraud goes undetected. No prevention.</w:t>
      </w:r>
    </w:p>
    <w:p>
      <w:pPr>
        <w:pStyle w:val="Heading3"/>
        <w:numPr>
          <w:ilvl w:val="2"/>
          <w:numId w:val="2"/>
        </w:numPr>
        <w:ind w:hanging="0" w:start="0"/>
        <w:rPr/>
      </w:pPr>
      <w:bookmarkStart w:id="37" w:name="__RefHeading___Toc56096_880593128"/>
      <w:bookmarkEnd w:id="37"/>
      <w:r>
        <w:rPr/>
        <w:t>4. Itemized Consequences</w:t>
      </w:r>
    </w:p>
    <w:p>
      <w:pPr>
        <w:pStyle w:val="BodyText"/>
        <w:numPr>
          <w:ilvl w:val="0"/>
          <w:numId w:val="14"/>
        </w:numPr>
        <w:rPr/>
      </w:pPr>
      <w:r>
        <w:rPr>
          <w:rStyle w:val="Strong"/>
        </w:rPr>
        <w:t>Title defects passed to owners:</w:t>
      </w:r>
      <w:r>
        <w:rPr/>
        <w:t xml:space="preserve"> CA does not verify title, encumbrances, or UDI. Defective declarations recorded. Owners inherit defects.</w:t>
      </w:r>
    </w:p>
    <w:p>
      <w:pPr>
        <w:pStyle w:val="BodyText"/>
        <w:numPr>
          <w:ilvl w:val="0"/>
          <w:numId w:val="14"/>
        </w:numPr>
        <w:rPr/>
      </w:pPr>
      <w:r>
        <w:rPr>
          <w:rStyle w:val="Strong"/>
        </w:rPr>
        <w:t>No detection of fraud:</w:t>
      </w:r>
      <w:r>
        <w:rPr/>
        <w:t xml:space="preserve"> CA does not verify plans, areas, or approvals. Builder fraud (adding customers, changing LCAs) goes undetected.</w:t>
      </w:r>
    </w:p>
    <w:p>
      <w:pPr>
        <w:pStyle w:val="BodyText"/>
        <w:numPr>
          <w:ilvl w:val="0"/>
          <w:numId w:val="14"/>
        </w:numPr>
        <w:rPr/>
      </w:pPr>
      <w:r>
        <w:rPr>
          <w:rStyle w:val="Strong"/>
        </w:rPr>
        <w:t>"Scrutiny" is meaningless:</w:t>
      </w:r>
      <w:r>
        <w:rPr/>
        <w:t xml:space="preserve"> "Scrutiny" without verification is just reading. CA has no duty to verify against external sources.</w:t>
      </w:r>
    </w:p>
    <w:p>
      <w:pPr>
        <w:pStyle w:val="BodyText"/>
        <w:numPr>
          <w:ilvl w:val="0"/>
          <w:numId w:val="14"/>
        </w:numPr>
        <w:rPr/>
      </w:pPr>
      <w:r>
        <w:rPr>
          <w:rStyle w:val="Strong"/>
        </w:rPr>
        <w:t>No Certificate of Compliance:</w:t>
      </w:r>
      <w:r>
        <w:rPr/>
        <w:t xml:space="preserve"> CA issues no certificate confirming all verifications. No document for owners to rely on.</w:t>
      </w:r>
    </w:p>
    <w:p>
      <w:pPr>
        <w:pStyle w:val="BodyText"/>
        <w:numPr>
          <w:ilvl w:val="0"/>
          <w:numId w:val="14"/>
        </w:numPr>
        <w:rPr/>
      </w:pPr>
      <w:r>
        <w:rPr>
          <w:rStyle w:val="Strong"/>
        </w:rPr>
        <w:t>Reactive, not proactive:</w:t>
      </w:r>
      <w:r>
        <w:rPr/>
        <w:t xml:space="preserve"> CA acts only on complaints. No proactive inspection, audit, or verification.</w:t>
      </w:r>
    </w:p>
    <w:p>
      <w:pPr>
        <w:pStyle w:val="BodyText"/>
        <w:numPr>
          <w:ilvl w:val="0"/>
          <w:numId w:val="14"/>
        </w:numPr>
        <w:rPr/>
      </w:pPr>
      <w:r>
        <w:rPr>
          <w:rStyle w:val="Strong"/>
        </w:rPr>
        <w:t>No penalty for CA inaction:</w:t>
      </w:r>
      <w:r>
        <w:rPr/>
        <w:t xml:space="preserve"> CA can simply "file and forget."</w:t>
      </w:r>
    </w:p>
    <w:p>
      <w:pPr>
        <w:pStyle w:val="Heading3"/>
        <w:numPr>
          <w:ilvl w:val="0"/>
          <w:numId w:val="0"/>
        </w:numPr>
        <w:ind w:hanging="0" w:start="0"/>
        <w:rPr/>
      </w:pPr>
      <w:bookmarkStart w:id="38" w:name="__RefHeading___Toc56098_880593128"/>
      <w:bookmarkEnd w:id="38"/>
      <w:r>
        <w:rPr/>
        <w:t>5. Atomic Changes Required</w:t>
      </w:r>
    </w:p>
    <w:p>
      <w:pPr>
        <w:pStyle w:val="BodyText"/>
        <w:rPr/>
      </w:pPr>
      <w:r>
        <w:rPr>
          <w:rStyle w:val="Strong"/>
        </w:rPr>
        <w:t>Change 1: New Section 13A (Verification by CA)</w:t>
      </w:r>
    </w:p>
    <w:p>
      <w:pPr>
        <w:pStyle w:val="BodyText"/>
        <w:rPr/>
      </w:pPr>
      <w:r>
        <w:rPr>
          <w:rStyle w:val="Emphasis"/>
        </w:rPr>
        <w:t>Add:</w:t>
      </w:r>
      <w:r>
        <w:rPr/>
        <w:br/>
        <w:t>"13A. Verification by Competent Authority Before Recording Declaration</w:t>
      </w:r>
    </w:p>
    <w:p>
      <w:pPr>
        <w:pStyle w:val="BodyText"/>
        <w:rPr/>
      </w:pPr>
      <w:r>
        <w:rPr/>
        <w:t>(1) Before recording a declaration under section 13, the Competent Authority shall:</w:t>
        <w:br/>
        <w:t>(a) verify the promoter's title to the land with the Sub-Registrar and revenue authorities;</w:t>
        <w:br/>
        <w:t>(b) verify all statutory approvals including sanctioned plan, building permits, fire safety approvals, and environmental clearances with the issuing authorities;</w:t>
        <w:br/>
        <w:t>(c) verify the calculation of the undivided right, title and interest of each apartment;</w:t>
        <w:br/>
        <w:t>(d) verify that the encumbrance statement is complete and accurate;</w:t>
        <w:br/>
        <w:t>(e) verify the declaration's consistency with documents submitted to the Real Estate Regulatory Authority under RERA;</w:t>
        <w:br/>
        <w:t>(f) verify the declaration's consistency with the actual construction as per the occupancy certificate.</w:t>
      </w:r>
    </w:p>
    <w:p>
      <w:pPr>
        <w:pStyle w:val="BodyText"/>
        <w:rPr/>
      </w:pPr>
      <w:r>
        <w:rPr/>
        <w:t>(2) The Competent Authority shall issue a Certificate of Verification confirming all verifications are satisfactory.</w:t>
      </w:r>
    </w:p>
    <w:p>
      <w:pPr>
        <w:pStyle w:val="BodyText"/>
        <w:rPr/>
      </w:pPr>
      <w:r>
        <w:rPr/>
        <w:t>(3) No declaration shall be recorded without the Certificate of Verification."</w:t>
      </w:r>
    </w:p>
    <w:p>
      <w:pPr>
        <w:pStyle w:val="BodyText"/>
        <w:rPr/>
      </w:pPr>
      <w:r>
        <w:rPr>
          <w:rStyle w:val="Strong"/>
        </w:rPr>
        <w:t>Change 2: Amend KAOMA#41</w:t>
      </w:r>
    </w:p>
    <w:p>
      <w:pPr>
        <w:pStyle w:val="BodyText"/>
        <w:rPr/>
      </w:pPr>
      <w:r>
        <w:rPr>
          <w:rStyle w:val="Emphasis"/>
        </w:rPr>
        <w:t>Add clauses:</w:t>
      </w:r>
      <w:r>
        <w:rPr/>
        <w:br/>
        <w:t>"(m) to conduct an annual inspection of each registered project to verify compliance with the declaration and bye-laws;</w:t>
        <w:br/>
        <w:t>(n) to submit an annual report to the Government containing the number of declarations registered and rejected, associations registered, disputes resolved, and penalties imposed;</w:t>
        <w:br/>
        <w:t>(o) to conduct an annual data reconciliation exercise for every registered project, comparing financial returns with declared UDI and super built-up area particulars."</w:t>
      </w:r>
    </w:p>
    <w:p>
      <w:pPr>
        <w:pStyle w:val="Heading3"/>
        <w:numPr>
          <w:ilvl w:val="2"/>
          <w:numId w:val="2"/>
        </w:numPr>
        <w:ind w:hanging="0" w:start="0"/>
        <w:rPr/>
      </w:pPr>
      <w:bookmarkStart w:id="39" w:name="__RefHeading___Toc56100_880593128"/>
      <w:bookmarkEnd w:id="39"/>
      <w:r>
        <w:rPr/>
        <w:t>6. Justification</w:t>
      </w:r>
    </w:p>
    <w:p>
      <w:pPr>
        <w:pStyle w:val="BodyText"/>
        <w:rPr/>
      </w:pPr>
      <w:r>
        <w:rPr/>
        <w:t>The absence of verification is the single most important failure of KAOA. It is also the single most important gap in KAOMA. Without mandatory verification, the system is vulnerable to the same "file and forget" dysfunction that made KAOA toothless for 53 years.</w:t>
      </w:r>
    </w:p>
    <w:p>
      <w:pPr>
        <w:pStyle w:val="BodyText"/>
        <w:rPr/>
      </w:pPr>
      <w:r>
        <w:rPr/>
        <w:t>The CA must verify:</w:t>
      </w:r>
    </w:p>
    <w:p>
      <w:pPr>
        <w:pStyle w:val="BodyText"/>
        <w:numPr>
          <w:ilvl w:val="0"/>
          <w:numId w:val="15"/>
        </w:numPr>
        <w:rPr/>
      </w:pPr>
      <w:r>
        <w:rPr/>
        <w:t>Title (with Sub-Registrar)</w:t>
      </w:r>
    </w:p>
    <w:p>
      <w:pPr>
        <w:pStyle w:val="BodyText"/>
        <w:numPr>
          <w:ilvl w:val="0"/>
          <w:numId w:val="15"/>
        </w:numPr>
        <w:rPr/>
      </w:pPr>
      <w:r>
        <w:rPr/>
        <w:t>Approvals (with issuing authorities)</w:t>
      </w:r>
    </w:p>
    <w:p>
      <w:pPr>
        <w:pStyle w:val="BodyText"/>
        <w:numPr>
          <w:ilvl w:val="0"/>
          <w:numId w:val="15"/>
        </w:numPr>
        <w:rPr/>
      </w:pPr>
      <w:r>
        <w:rPr/>
        <w:t>UDI calculations (with certified architect/engineer)</w:t>
      </w:r>
    </w:p>
    <w:p>
      <w:pPr>
        <w:pStyle w:val="BodyText"/>
        <w:numPr>
          <w:ilvl w:val="0"/>
          <w:numId w:val="15"/>
        </w:numPr>
        <w:rPr/>
      </w:pPr>
      <w:r>
        <w:rPr/>
        <w:t>Encumbrances (with Sub-Registrar)</w:t>
      </w:r>
    </w:p>
    <w:p>
      <w:pPr>
        <w:pStyle w:val="BodyText"/>
        <w:numPr>
          <w:ilvl w:val="0"/>
          <w:numId w:val="15"/>
        </w:numPr>
        <w:rPr/>
      </w:pPr>
      <w:r>
        <w:rPr/>
        <w:t>RERA consistency (with RERA records)</w:t>
      </w:r>
    </w:p>
    <w:p>
      <w:pPr>
        <w:pStyle w:val="BodyText"/>
        <w:numPr>
          <w:ilvl w:val="0"/>
          <w:numId w:val="15"/>
        </w:numPr>
        <w:rPr/>
      </w:pPr>
      <w:r>
        <w:rPr/>
        <w:t>Actual construction (with occupancy certificate)</w:t>
      </w:r>
    </w:p>
    <w:p>
      <w:pPr>
        <w:pStyle w:val="BodyText"/>
        <w:rPr/>
      </w:pPr>
      <w:r>
        <w:rPr/>
        <w:t>And must issue a Certificate of Verification before recording any declaration. Only then can the system be trusted.</w:t>
      </w:r>
    </w:p>
    <w:p>
      <w:pPr>
        <w:pStyle w:val="HorizontalLine"/>
        <w:rPr/>
      </w:pPr>
      <w:r>
        <w:rPr/>
      </w:r>
    </w:p>
    <w:p>
      <w:pPr>
        <w:pStyle w:val="Heading2"/>
        <w:rPr/>
      </w:pPr>
      <w:bookmarkStart w:id="40" w:name="__RefHeading___Toc56102_880593128"/>
      <w:bookmarkEnd w:id="40"/>
      <w:r>
        <w:rPr/>
        <w:t>Appendix 6: No cross-verification with RERA</w:t>
      </w:r>
    </w:p>
    <w:p>
      <w:pPr>
        <w:pStyle w:val="Heading3"/>
        <w:numPr>
          <w:ilvl w:val="0"/>
          <w:numId w:val="2"/>
        </w:numPr>
        <w:ind w:hanging="0" w:start="0"/>
        <w:rPr/>
      </w:pPr>
      <w:bookmarkStart w:id="41" w:name="__RefHeading___Toc56104_880593128"/>
      <w:bookmarkEnd w:id="41"/>
      <w:r>
        <w:rPr/>
        <w:t>1. Problem Statement</w:t>
      </w:r>
    </w:p>
    <w:p>
      <w:pPr>
        <w:pStyle w:val="BodyText"/>
        <w:rPr/>
      </w:pPr>
      <w:r>
        <w:rPr/>
        <w:t>There is no guaranteed consistency between documents submitted to RERA and documents submitted to KAOMA. The promoter (or later, the Management Committee) could submit entirely different documents to each authority, and no one would detect it. Intentional fraud and genuine mistakes have the same effect on owners.</w:t>
      </w:r>
    </w:p>
    <w:p>
      <w:pPr>
        <w:pStyle w:val="Heading3"/>
        <w:numPr>
          <w:ilvl w:val="2"/>
          <w:numId w:val="2"/>
        </w:numPr>
        <w:ind w:hanging="0" w:start="0"/>
        <w:rPr/>
      </w:pPr>
      <w:bookmarkStart w:id="42" w:name="__RefHeading___Toc56106_880593128"/>
      <w:bookmarkEnd w:id="42"/>
      <w:r>
        <w:rPr/>
        <w:t>2. Sections Involved</w:t>
      </w:r>
    </w:p>
    <w:p>
      <w:pPr>
        <w:pStyle w:val="BodyText"/>
        <w:numPr>
          <w:ilvl w:val="0"/>
          <w:numId w:val="16"/>
        </w:numPr>
        <w:rPr/>
      </w:pPr>
      <w:r>
        <w:rPr/>
        <w:t>KAOMA#13: Declaration submission (no cross-verification with RERA)</w:t>
      </w:r>
    </w:p>
    <w:p>
      <w:pPr>
        <w:pStyle w:val="BodyText"/>
        <w:numPr>
          <w:ilvl w:val="0"/>
          <w:numId w:val="16"/>
        </w:numPr>
        <w:rPr/>
      </w:pPr>
      <w:r>
        <w:rPr/>
        <w:t>KAOMA#41: CA functions (no reference to RERA)</w:t>
      </w:r>
    </w:p>
    <w:p>
      <w:pPr>
        <w:pStyle w:val="BodyText"/>
        <w:numPr>
          <w:ilvl w:val="0"/>
          <w:numId w:val="16"/>
        </w:numPr>
        <w:rPr/>
      </w:pPr>
      <w:r>
        <w:rPr/>
        <w:t>KAOMA#67: Online portal (no cross-verification function)</w:t>
      </w:r>
    </w:p>
    <w:p>
      <w:pPr>
        <w:pStyle w:val="BodyText"/>
        <w:numPr>
          <w:ilvl w:val="0"/>
          <w:numId w:val="16"/>
        </w:numPr>
        <w:rPr/>
      </w:pPr>
      <w:r>
        <w:rPr/>
        <w:t>No provision for RERA-KAOMA coordination</w:t>
      </w:r>
    </w:p>
    <w:p>
      <w:pPr>
        <w:pStyle w:val="Heading3"/>
        <w:numPr>
          <w:ilvl w:val="0"/>
          <w:numId w:val="0"/>
        </w:numPr>
        <w:ind w:hanging="0" w:start="0"/>
        <w:rPr/>
      </w:pPr>
      <w:bookmarkStart w:id="43" w:name="__RefHeading___Toc56108_880593128"/>
      <w:bookmarkEnd w:id="43"/>
      <w:r>
        <w:rPr/>
        <w:t>3. Causal Chain</w:t>
      </w:r>
    </w:p>
    <w:p>
      <w:pPr>
        <w:pStyle w:val="BodyText"/>
        <w:rPr/>
      </w:pPr>
      <w:r>
        <w:rPr>
          <w:rStyle w:val="Strong"/>
        </w:rPr>
        <w:t>Premise 1:</w:t>
      </w:r>
      <w:r>
        <w:rPr/>
        <w:t xml:space="preserve"> No common repository or cross-verification mandated.</w:t>
      </w:r>
    </w:p>
    <w:p>
      <w:pPr>
        <w:pStyle w:val="BodyText"/>
        <w:rPr/>
      </w:pPr>
      <w:r>
        <w:rPr>
          <w:rStyle w:val="Strong"/>
        </w:rPr>
        <w:t>Premise 2:</w:t>
      </w:r>
      <w:r>
        <w:rPr/>
        <w:t xml:space="preserve"> RERA documents submitted pre-construction; KAOMA post-OC.</w:t>
      </w:r>
    </w:p>
    <w:p>
      <w:pPr>
        <w:pStyle w:val="BodyText"/>
        <w:rPr/>
      </w:pPr>
      <w:r>
        <w:rPr>
          <w:rStyle w:val="Strong"/>
        </w:rPr>
        <w:t>Premise 3:</w:t>
      </w:r>
      <w:r>
        <w:rPr/>
        <w:t xml:space="preserve"> RERA's accountability ends at handover → Documents archived/purged.</w:t>
      </w:r>
    </w:p>
    <w:p>
      <w:pPr>
        <w:pStyle w:val="BodyText"/>
        <w:rPr/>
      </w:pPr>
      <w:r>
        <w:rPr>
          <w:rStyle w:val="Strong"/>
        </w:rPr>
        <w:t>∴</w:t>
      </w:r>
      <w:r>
        <w:rPr/>
        <w:t xml:space="preserve"> </w:t>
      </w:r>
      <w:r>
        <w:rPr/>
        <w:t>No one compares documents. Discrepancies go undetected.</w:t>
      </w:r>
    </w:p>
    <w:p>
      <w:pPr>
        <w:pStyle w:val="HorizontalLine"/>
        <w:rPr/>
      </w:pPr>
      <w:r>
        <w:rPr/>
      </w:r>
    </w:p>
    <w:p>
      <w:pPr>
        <w:pStyle w:val="BodyText"/>
        <w:rPr/>
      </w:pPr>
      <w:r>
        <w:rPr/>
        <w:t>1.1: No common repository → Different documents can be submitted.</w:t>
        <w:br/>
        <w:t>→ Plan A to RERA (approved), Plan B to KAOMA (modified). No one compares.</w:t>
      </w:r>
    </w:p>
    <w:p>
      <w:pPr>
        <w:pStyle w:val="BodyText"/>
        <w:rPr/>
      </w:pPr>
      <w:r>
        <w:rPr/>
        <w:t>1.2: RERA accountability ends at handover → Documents archived/purged.</w:t>
        <w:br/>
        <w:t>→ CA cannot access RERA documents. No one can compare.</w:t>
      </w:r>
    </w:p>
    <w:p>
      <w:pPr>
        <w:pStyle w:val="BodyText"/>
        <w:rPr/>
      </w:pPr>
      <w:r>
        <w:rPr/>
        <w:t>1.3: Different area calculations → RERA sees 100 sq m; KAOMA sees 95 sq m.</w:t>
        <w:br/>
        <w:t>→ UDI manipulated. No one detects.</w:t>
      </w:r>
    </w:p>
    <w:p>
      <w:pPr>
        <w:pStyle w:val="BodyText"/>
        <w:rPr/>
      </w:pPr>
      <w:r>
        <w:rPr/>
        <w:t>1.4: Different encumbrance statements → RERA sees "free"; KAOMA sees "mortgage."</w:t>
        <w:br/>
        <w:t>→ Owners inherit encumbrance. No one detects.</w:t>
      </w:r>
    </w:p>
    <w:p>
      <w:pPr>
        <w:pStyle w:val="BodyText"/>
        <w:rPr/>
      </w:pPr>
      <w:r>
        <w:rPr/>
        <w:t>1.5: Different common areas definitions → RERA includes land; KAOMA excludes land.</w:t>
        <w:br/>
        <w:t>→ Conflict goes unresolved. Title defects.</w:t>
      </w:r>
    </w:p>
    <w:p>
      <w:pPr>
        <w:pStyle w:val="BodyText"/>
        <w:rPr/>
      </w:pPr>
      <w:r>
        <w:rPr>
          <w:rStyle w:val="Strong"/>
        </w:rPr>
        <w:t>Final Consequence:</w:t>
      </w:r>
      <w:r>
        <w:rPr/>
        <w:t xml:space="preserve"> Intentional fraud and genuine mistakes have same effect. Without comparison, neither is detected. Owners suffer either way.</w:t>
      </w:r>
    </w:p>
    <w:p>
      <w:pPr>
        <w:pStyle w:val="Heading3"/>
        <w:numPr>
          <w:ilvl w:val="2"/>
          <w:numId w:val="2"/>
        </w:numPr>
        <w:ind w:hanging="0" w:start="0"/>
        <w:rPr/>
      </w:pPr>
      <w:bookmarkStart w:id="44" w:name="__RefHeading___Toc56110_880593128"/>
      <w:bookmarkEnd w:id="44"/>
      <w:r>
        <w:rPr/>
        <w:t>4. Itemized Consequences</w:t>
      </w:r>
    </w:p>
    <w:p>
      <w:pPr>
        <w:pStyle w:val="BodyText"/>
        <w:numPr>
          <w:ilvl w:val="0"/>
          <w:numId w:val="17"/>
        </w:numPr>
        <w:rPr/>
      </w:pPr>
      <w:r>
        <w:rPr>
          <w:rStyle w:val="Strong"/>
        </w:rPr>
        <w:t>Different documents submitted:</w:t>
      </w:r>
      <w:r>
        <w:rPr/>
        <w:t xml:space="preserve"> Plan A to RERA, Plan B to KAOMA. No one compares.</w:t>
      </w:r>
    </w:p>
    <w:p>
      <w:pPr>
        <w:pStyle w:val="BodyText"/>
        <w:numPr>
          <w:ilvl w:val="0"/>
          <w:numId w:val="17"/>
        </w:numPr>
        <w:rPr/>
      </w:pPr>
      <w:r>
        <w:rPr>
          <w:rStyle w:val="Strong"/>
        </w:rPr>
        <w:t>Different area calculations:</w:t>
      </w:r>
      <w:r>
        <w:rPr/>
        <w:t xml:space="preserve"> UDI manipulated. No one detects.</w:t>
      </w:r>
    </w:p>
    <w:p>
      <w:pPr>
        <w:pStyle w:val="BodyText"/>
        <w:numPr>
          <w:ilvl w:val="0"/>
          <w:numId w:val="17"/>
        </w:numPr>
        <w:rPr/>
      </w:pPr>
      <w:r>
        <w:rPr>
          <w:rStyle w:val="Strong"/>
        </w:rPr>
        <w:t>Different encumbrance statements:</w:t>
      </w:r>
      <w:r>
        <w:rPr/>
        <w:t xml:space="preserve"> Owners inherit encumbrance. No one detects.</w:t>
      </w:r>
    </w:p>
    <w:p>
      <w:pPr>
        <w:pStyle w:val="BodyText"/>
        <w:numPr>
          <w:ilvl w:val="0"/>
          <w:numId w:val="17"/>
        </w:numPr>
        <w:rPr/>
      </w:pPr>
      <w:r>
        <w:rPr>
          <w:rStyle w:val="Strong"/>
        </w:rPr>
        <w:t>RERA documents inaccessible:</w:t>
      </w:r>
      <w:r>
        <w:rPr/>
        <w:t xml:space="preserve"> Archived or purged. CA cannot access.</w:t>
      </w:r>
    </w:p>
    <w:p>
      <w:pPr>
        <w:pStyle w:val="BodyText"/>
        <w:numPr>
          <w:ilvl w:val="0"/>
          <w:numId w:val="17"/>
        </w:numPr>
        <w:rPr/>
      </w:pPr>
      <w:r>
        <w:rPr>
          <w:rStyle w:val="Strong"/>
        </w:rPr>
        <w:t>No detection of discrepancies:</w:t>
      </w:r>
      <w:r>
        <w:rPr/>
        <w:t xml:space="preserve"> Fraud and mistakes have same effect. Owners suffer.</w:t>
      </w:r>
    </w:p>
    <w:p>
      <w:pPr>
        <w:pStyle w:val="Heading3"/>
        <w:numPr>
          <w:ilvl w:val="0"/>
          <w:numId w:val="0"/>
        </w:numPr>
        <w:ind w:hanging="0" w:start="0"/>
        <w:rPr/>
      </w:pPr>
      <w:bookmarkStart w:id="45" w:name="__RefHeading___Toc56112_880593128"/>
      <w:bookmarkEnd w:id="45"/>
      <w:r>
        <w:rPr/>
        <w:t>5. Atomic Changes Required</w:t>
      </w:r>
    </w:p>
    <w:p>
      <w:pPr>
        <w:pStyle w:val="BodyText"/>
        <w:rPr/>
      </w:pPr>
      <w:r>
        <w:rPr>
          <w:rStyle w:val="Strong"/>
        </w:rPr>
        <w:t>Change 1: New Section 13A (Cross-Verification with RERA)</w:t>
      </w:r>
    </w:p>
    <w:p>
      <w:pPr>
        <w:pStyle w:val="BodyText"/>
        <w:rPr/>
      </w:pPr>
      <w:r>
        <w:rPr>
          <w:rStyle w:val="Emphasis"/>
        </w:rPr>
        <w:t>Add:</w:t>
      </w:r>
      <w:r>
        <w:rPr/>
        <w:br/>
        <w:t>"13A. Cross-Verification with Real Estate Regulatory Authority</w:t>
      </w:r>
    </w:p>
    <w:p>
      <w:pPr>
        <w:pStyle w:val="BodyText"/>
        <w:rPr/>
      </w:pPr>
      <w:r>
        <w:rPr/>
        <w:t>(1) Upon receipt of a declaration under section 13, the Competent Authority shall obtain from the Real Estate Regulatory Authority established under the Real Estate (Regulation and Development) Act, 2016, a certified copy of all documents submitted by the promoter under that Act for the same project, including:</w:t>
        <w:br/>
        <w:t>(a) the application for registration (Form A);</w:t>
        <w:br/>
        <w:t>(b) the declaration under section 4(2)(l) (Form B);</w:t>
        <w:br/>
        <w:t>(c) the sanctioned plan, layout plan, and specifications;</w:t>
        <w:br/>
        <w:t>(d) the approvals and commencement certificates; and</w:t>
        <w:br/>
        <w:t>(e) all amendments or modifications to the registration.</w:t>
      </w:r>
    </w:p>
    <w:p>
      <w:pPr>
        <w:pStyle w:val="BodyText"/>
        <w:rPr/>
      </w:pPr>
      <w:r>
        <w:rPr/>
        <w:t>(2) The Competent Authority shall compare the declaration submitted under section 13 with the documents obtained from the Real Estate Regulatory Authority and record any discrepancies in a register maintained for the purpose.</w:t>
      </w:r>
    </w:p>
    <w:p>
      <w:pPr>
        <w:pStyle w:val="BodyText"/>
        <w:rPr/>
      </w:pPr>
      <w:r>
        <w:rPr/>
        <w:t>(3) Where the Competent Authority finds discrepancies, it shall:</w:t>
        <w:br/>
        <w:t>(a) notify the promoter and the association of the discrepancies;</w:t>
        <w:br/>
        <w:t>(b) require the promoter to explain the discrepancies within 30 days;</w:t>
        <w:br/>
        <w:t>(c) if the explanation is unsatisfactory, refuse to record the declaration until the discrepancies are resolved.</w:t>
      </w:r>
    </w:p>
    <w:p>
      <w:pPr>
        <w:pStyle w:val="BodyText"/>
        <w:rPr/>
      </w:pPr>
      <w:r>
        <w:rPr/>
        <w:t>(4) The Real Estate Regulatory Authority shall, upon request by the Competent Authority, provide certified copies of documents within 15 days, and may charge a reasonable fee for the same."</w:t>
      </w:r>
    </w:p>
    <w:p>
      <w:pPr>
        <w:pStyle w:val="BodyText"/>
        <w:rPr/>
      </w:pPr>
      <w:r>
        <w:rPr>
          <w:rStyle w:val="Strong"/>
        </w:rPr>
        <w:t>Change 2: New Section 69A (RERA-KAOMA Coordination Committee)</w:t>
      </w:r>
    </w:p>
    <w:p>
      <w:pPr>
        <w:pStyle w:val="BodyText"/>
        <w:rPr/>
      </w:pPr>
      <w:r>
        <w:rPr>
          <w:rStyle w:val="Emphasis"/>
        </w:rPr>
        <w:t>Add:</w:t>
      </w:r>
      <w:r>
        <w:rPr/>
        <w:br/>
        <w:t>"69A. RERA-KAOMA Coordination Committee</w:t>
      </w:r>
    </w:p>
    <w:p>
      <w:pPr>
        <w:pStyle w:val="BodyText"/>
        <w:rPr/>
      </w:pPr>
      <w:r>
        <w:rPr/>
        <w:t>(1) The Government shall establish a Coordination Committee comprising:</w:t>
        <w:br/>
        <w:t>(a) the Chairperson of the Real Estate Regulatory Authority;</w:t>
        <w:br/>
        <w:t>(b) the Competent Authority appointed under section 39;</w:t>
        <w:br/>
        <w:t>(c) the Secretary, Housing Department;</w:t>
        <w:br/>
        <w:t>(d) the Secretary, Urban Development Department; and</w:t>
        <w:br/>
        <w:t>(e) two representatives of apartment owner associations.</w:t>
      </w:r>
    </w:p>
    <w:p>
      <w:pPr>
        <w:pStyle w:val="BodyText"/>
        <w:rPr/>
      </w:pPr>
      <w:r>
        <w:rPr/>
        <w:t>(2) The Committee shall:</w:t>
        <w:br/>
        <w:t>(a) develop procedures for sharing documents between RERA and KAOMA;</w:t>
        <w:br/>
        <w:t>(b) ensure consistency of definitions and standards;</w:t>
        <w:br/>
        <w:t>(c) address any discrepancies between documents submitted to RERA and KAOMA;</w:t>
        <w:br/>
        <w:t>(d) submit an annual report to the Government.</w:t>
      </w:r>
    </w:p>
    <w:p>
      <w:pPr>
        <w:pStyle w:val="BodyText"/>
        <w:rPr/>
      </w:pPr>
      <w:r>
        <w:rPr/>
        <w:t>(3) The Committee shall meet at least once in every quarter."</w:t>
      </w:r>
    </w:p>
    <w:p>
      <w:pPr>
        <w:pStyle w:val="BodyText"/>
        <w:rPr/>
      </w:pPr>
      <w:r>
        <w:rPr>
          <w:rStyle w:val="Strong"/>
        </w:rPr>
        <w:t>Change 3: Amend KAOMA#16(b)</w:t>
      </w:r>
    </w:p>
    <w:p>
      <w:pPr>
        <w:pStyle w:val="BodyText"/>
        <w:rPr/>
      </w:pPr>
      <w:r>
        <w:rPr>
          <w:rStyle w:val="Emphasis"/>
        </w:rPr>
        <w:t>Add:</w:t>
      </w:r>
      <w:r>
        <w:rPr/>
        <w:t xml:space="preserve"> "including a certified copy of all documents submitted to the Real Estate Regulatory Authority under RERA, and any amendments thereto."</w:t>
      </w:r>
    </w:p>
    <w:p>
      <w:pPr>
        <w:pStyle w:val="BodyText"/>
        <w:rPr/>
      </w:pPr>
      <w:r>
        <w:rPr>
          <w:rStyle w:val="Strong"/>
        </w:rPr>
        <w:t>Change 4: Amend KAOMA#41(1A)</w:t>
      </w:r>
    </w:p>
    <w:p>
      <w:pPr>
        <w:pStyle w:val="BodyText"/>
        <w:rPr/>
      </w:pPr>
      <w:r>
        <w:rPr>
          <w:rStyle w:val="Emphasis"/>
        </w:rPr>
        <w:t>Add:</w:t>
      </w:r>
      <w:r>
        <w:rPr/>
        <w:t xml:space="preserve"> "The Competent Authority shall have direct access to the online portal of the Real Estate Regulatory Authority for the purpose of obtaining documents and information relating to any registered project in the State of Karnataka."</w:t>
      </w:r>
    </w:p>
    <w:p>
      <w:pPr>
        <w:pStyle w:val="BodyText"/>
        <w:rPr/>
      </w:pPr>
      <w:r>
        <w:rPr>
          <w:rStyle w:val="Strong"/>
        </w:rPr>
        <w:t>Change 5: New Penalty Provision</w:t>
      </w:r>
    </w:p>
    <w:p>
      <w:pPr>
        <w:pStyle w:val="BodyText"/>
        <w:rPr/>
      </w:pPr>
      <w:r>
        <w:rPr>
          <w:rStyle w:val="Emphasis"/>
        </w:rPr>
        <w:t>Add:</w:t>
      </w:r>
      <w:r>
        <w:rPr/>
        <w:t xml:space="preserve"> "Where any document submitted to the Competent Authority under this Act is materially different from the document submitted to the Real Estate Regulatory Authority under RERA for the same project, the promoter or the association, as the case may be, shall be liable to a penalty of up to ₹10,00,000 for each such discrepancy. The Competent Authority may also direct the promoter or association to rectify the discrepancy and resubmit the corrected document. In case of deliberate fraud, the Competent Authority may refer the matter for prosecution under the Bharatiya Nyaya Sanhita, 2023."</w:t>
      </w:r>
    </w:p>
    <w:p>
      <w:pPr>
        <w:pStyle w:val="Heading3"/>
        <w:numPr>
          <w:ilvl w:val="2"/>
          <w:numId w:val="2"/>
        </w:numPr>
        <w:ind w:hanging="0" w:start="0"/>
        <w:rPr/>
      </w:pPr>
      <w:bookmarkStart w:id="46" w:name="__RefHeading___Toc56114_880593128"/>
      <w:bookmarkEnd w:id="46"/>
      <w:r>
        <w:rPr/>
        <w:t>6. Justification</w:t>
      </w:r>
    </w:p>
    <w:p>
      <w:pPr>
        <w:pStyle w:val="BodyText"/>
        <w:rPr/>
      </w:pPr>
      <w:r>
        <w:rPr/>
        <w:t>The gap between RERA and KAOMA is not a theoretical risk—it is a real and present danger. RERA's accountability ends at handover. KAOMA's control cycle is lifelong. Without cross-verification, the promoter can exploit the gap to submit different documents to each authority.</w:t>
      </w:r>
    </w:p>
    <w:p>
      <w:pPr>
        <w:pStyle w:val="BodyText"/>
        <w:rPr/>
      </w:pPr>
      <w:r>
        <w:rPr/>
        <w:t>The solution is mandatory cross-verification:</w:t>
      </w:r>
    </w:p>
    <w:p>
      <w:pPr>
        <w:pStyle w:val="BodyText"/>
        <w:numPr>
          <w:ilvl w:val="0"/>
          <w:numId w:val="18"/>
        </w:numPr>
        <w:rPr/>
      </w:pPr>
      <w:r>
        <w:rPr/>
        <w:t>RERA must provide certified copies to KAOMA CA</w:t>
      </w:r>
    </w:p>
    <w:p>
      <w:pPr>
        <w:pStyle w:val="BodyText"/>
        <w:numPr>
          <w:ilvl w:val="0"/>
          <w:numId w:val="18"/>
        </w:numPr>
        <w:rPr/>
      </w:pPr>
      <w:r>
        <w:rPr/>
        <w:t>CA must compare and record discrepancies</w:t>
      </w:r>
    </w:p>
    <w:p>
      <w:pPr>
        <w:pStyle w:val="BodyText"/>
        <w:numPr>
          <w:ilvl w:val="0"/>
          <w:numId w:val="18"/>
        </w:numPr>
        <w:rPr/>
      </w:pPr>
      <w:r>
        <w:rPr/>
        <w:t>Discrepancies must be resolved before declaration is recorded</w:t>
      </w:r>
    </w:p>
    <w:p>
      <w:pPr>
        <w:pStyle w:val="BodyText"/>
        <w:numPr>
          <w:ilvl w:val="0"/>
          <w:numId w:val="18"/>
        </w:numPr>
        <w:rPr/>
      </w:pPr>
      <w:r>
        <w:rPr/>
        <w:t>Coordination Committee must ensure ongoing consistency</w:t>
      </w:r>
    </w:p>
    <w:p>
      <w:pPr>
        <w:pStyle w:val="BodyText"/>
        <w:rPr/>
      </w:pPr>
      <w:r>
        <w:rPr/>
        <w:t>This is not difficult to implement. Both laws are enacted by the same State Legislature. Their execution is coordinated through the Karnataka State Allocation of Business Rules. Perfect synchronization is not only possible but imperative.</w:t>
      </w:r>
    </w:p>
    <w:p>
      <w:pPr>
        <w:pStyle w:val="HorizontalLine"/>
        <w:rPr/>
      </w:pPr>
      <w:r>
        <w:rPr/>
      </w:r>
    </w:p>
    <w:p>
      <w:pPr>
        <w:pStyle w:val="Heading2"/>
        <w:rPr/>
      </w:pPr>
      <w:bookmarkStart w:id="47" w:name="__RefHeading___Toc56116_880593128"/>
      <w:bookmarkEnd w:id="47"/>
      <w:r>
        <w:rPr/>
        <w:t>Appendix 7: The electronic democracy gap</w:t>
      </w:r>
    </w:p>
    <w:p>
      <w:pPr>
        <w:pStyle w:val="Heading3"/>
        <w:numPr>
          <w:ilvl w:val="0"/>
          <w:numId w:val="2"/>
        </w:numPr>
        <w:ind w:hanging="0" w:start="0"/>
        <w:rPr/>
      </w:pPr>
      <w:bookmarkStart w:id="48" w:name="__RefHeading___Toc56118_880593128"/>
      <w:bookmarkEnd w:id="48"/>
      <w:r>
        <w:rPr/>
        <w:t>1. Problem Statement</w:t>
      </w:r>
    </w:p>
    <w:p>
      <w:pPr>
        <w:pStyle w:val="BodyText"/>
        <w:rPr/>
      </w:pPr>
      <w:r>
        <w:rPr/>
        <w:t>KAOMA contains no provisions for electronic voting, virtual meetings, or remote participation. All meetings require physical presence. A substantial percentage of apartment owners are NRIs or frequently travel. They are effectively disenfranchised.</w:t>
      </w:r>
    </w:p>
    <w:p>
      <w:pPr>
        <w:pStyle w:val="Heading3"/>
        <w:numPr>
          <w:ilvl w:val="2"/>
          <w:numId w:val="2"/>
        </w:numPr>
        <w:ind w:hanging="0" w:start="0"/>
        <w:rPr/>
      </w:pPr>
      <w:bookmarkStart w:id="49" w:name="__RefHeading___Toc56120_880593128"/>
      <w:bookmarkEnd w:id="49"/>
      <w:r>
        <w:rPr/>
        <w:t>2. Sections Involved</w:t>
      </w:r>
    </w:p>
    <w:p>
      <w:pPr>
        <w:pStyle w:val="BodyText"/>
        <w:numPr>
          <w:ilvl w:val="0"/>
          <w:numId w:val="19"/>
        </w:numPr>
        <w:rPr/>
      </w:pPr>
      <w:r>
        <w:rPr/>
        <w:t>KAOMA#31(2): "a majority of the apartment owners present and voting in a general body meeting" - implicitly physical presence</w:t>
      </w:r>
    </w:p>
    <w:p>
      <w:pPr>
        <w:pStyle w:val="BodyText"/>
        <w:numPr>
          <w:ilvl w:val="0"/>
          <w:numId w:val="19"/>
        </w:numPr>
        <w:rPr/>
      </w:pPr>
      <w:r>
        <w:rPr/>
        <w:t>KAOMA#31(8): "placed before the next general body meeting... for ratification" - physical meeting required</w:t>
      </w:r>
    </w:p>
    <w:p>
      <w:pPr>
        <w:pStyle w:val="BodyText"/>
        <w:numPr>
          <w:ilvl w:val="0"/>
          <w:numId w:val="19"/>
        </w:numPr>
        <w:rPr/>
      </w:pPr>
      <w:r>
        <w:rPr/>
        <w:t>KAOMA#35(1): "in a general body meeting" with quorum of "one third of the total number of apartments who are members of that association being present" - physical presence mandated</w:t>
      </w:r>
    </w:p>
    <w:p>
      <w:pPr>
        <w:pStyle w:val="BodyText"/>
        <w:numPr>
          <w:ilvl w:val="0"/>
          <w:numId w:val="19"/>
        </w:numPr>
        <w:rPr/>
      </w:pPr>
      <w:r>
        <w:rPr/>
        <w:t>KAOMA#50(3): "written consent" - no electronic option</w:t>
      </w:r>
    </w:p>
    <w:p>
      <w:pPr>
        <w:pStyle w:val="BodyText"/>
        <w:numPr>
          <w:ilvl w:val="0"/>
          <w:numId w:val="19"/>
        </w:numPr>
        <w:rPr/>
      </w:pPr>
      <w:r>
        <w:rPr/>
        <w:t>KAOMA#36: Contents of bye-laws (no mention of electronic voting)</w:t>
      </w:r>
    </w:p>
    <w:p>
      <w:pPr>
        <w:pStyle w:val="Heading3"/>
        <w:numPr>
          <w:ilvl w:val="0"/>
          <w:numId w:val="0"/>
        </w:numPr>
        <w:ind w:hanging="0" w:start="0"/>
        <w:rPr/>
      </w:pPr>
      <w:bookmarkStart w:id="50" w:name="__RefHeading___Toc56122_880593128"/>
      <w:bookmarkEnd w:id="50"/>
      <w:r>
        <w:rPr/>
        <w:t>3. Causal Chain</w:t>
      </w:r>
    </w:p>
    <w:p>
      <w:pPr>
        <w:pStyle w:val="BodyText"/>
        <w:rPr/>
      </w:pPr>
      <w:r>
        <w:rPr>
          <w:rStyle w:val="Strong"/>
        </w:rPr>
        <w:t>Premise 1:</w:t>
      </w:r>
      <w:r>
        <w:rPr/>
        <w:t xml:space="preserve"> No provisions for e-voting or virtual meetings.</w:t>
      </w:r>
    </w:p>
    <w:p>
      <w:pPr>
        <w:pStyle w:val="BodyText"/>
        <w:rPr/>
      </w:pPr>
      <w:r>
        <w:rPr>
          <w:rStyle w:val="Strong"/>
        </w:rPr>
        <w:t>Premise 2:</w:t>
      </w:r>
      <w:r>
        <w:rPr/>
        <w:t xml:space="preserve"> All meetings require physical presence.</w:t>
      </w:r>
    </w:p>
    <w:p>
      <w:pPr>
        <w:pStyle w:val="BodyText"/>
        <w:rPr/>
      </w:pPr>
      <w:r>
        <w:rPr>
          <w:rStyle w:val="Strong"/>
        </w:rPr>
        <w:t>Premise 3:</w:t>
      </w:r>
      <w:r>
        <w:rPr/>
        <w:t xml:space="preserve"> NRIs, frequent travelers, and disabled owners cannot attend physical meetings.</w:t>
      </w:r>
    </w:p>
    <w:p>
      <w:pPr>
        <w:pStyle w:val="BodyText"/>
        <w:rPr/>
      </w:pPr>
      <w:r>
        <w:rPr>
          <w:rStyle w:val="Strong"/>
        </w:rPr>
        <w:t>∴</w:t>
      </w:r>
      <w:r>
        <w:rPr/>
        <w:t xml:space="preserve"> </w:t>
      </w:r>
      <w:r>
        <w:rPr/>
        <w:t>Significant portion of owners disenfranchised.</w:t>
      </w:r>
    </w:p>
    <w:p>
      <w:pPr>
        <w:pStyle w:val="HorizontalLine"/>
        <w:rPr/>
      </w:pPr>
      <w:r>
        <w:rPr/>
      </w:r>
    </w:p>
    <w:p>
      <w:pPr>
        <w:pStyle w:val="BodyText"/>
        <w:rPr/>
      </w:pPr>
      <w:r>
        <w:rPr/>
        <w:t>1.1: No e-voting → NRIs cannot vote.</w:t>
        <w:br/>
        <w:t>→ NRIs have no voice in how their property is managed.</w:t>
      </w:r>
    </w:p>
    <w:p>
      <w:pPr>
        <w:pStyle w:val="BodyText"/>
        <w:rPr/>
      </w:pPr>
      <w:r>
        <w:rPr/>
        <w:t>1.2: No virtual meetings → Disabled owners excluded.</w:t>
        <w:br/>
        <w:t>→ Elderly and physically disabled cannot attend meetings.</w:t>
      </w:r>
    </w:p>
    <w:p>
      <w:pPr>
        <w:pStyle w:val="BodyText"/>
        <w:rPr/>
      </w:pPr>
      <w:r>
        <w:rPr/>
        <w:t>1.3: #31(8) → EC can spend on "urgent" repairs; GBM ratifies months later.</w:t>
        <w:br/>
        <w:t>→ Owners cannot approve in real-time. Money spent before they can object.</w:t>
      </w:r>
    </w:p>
    <w:p>
      <w:pPr>
        <w:pStyle w:val="BodyText"/>
        <w:rPr/>
      </w:pPr>
      <w:r>
        <w:rPr/>
        <w:t>1.4: If ratification rejected → No mechanism to reverse the expenditure.</w:t>
        <w:br/>
        <w:t>→ EC may not be personally liable. Governance gap.</w:t>
      </w:r>
    </w:p>
    <w:p>
      <w:pPr>
        <w:pStyle w:val="BodyText"/>
        <w:rPr/>
      </w:pPr>
      <w:r>
        <w:rPr/>
        <w:t>1.5: No prior approval mechanism → Owners cannot participate in urgent decisions.</w:t>
        <w:br/>
        <w:t>→ EC has unchecked power in "emergencies."</w:t>
      </w:r>
    </w:p>
    <w:p>
      <w:pPr>
        <w:pStyle w:val="BodyText"/>
        <w:rPr/>
      </w:pPr>
      <w:r>
        <w:rPr>
          <w:rStyle w:val="Strong"/>
        </w:rPr>
        <w:t>Final Consequence:</w:t>
      </w:r>
      <w:r>
        <w:rPr/>
        <w:t xml:space="preserve"> NRIs and disabled owners disenfranchised. EC has unchecked power in emergencies. Post-facto ratification loophole. No real-time owner participation.</w:t>
      </w:r>
    </w:p>
    <w:p>
      <w:pPr>
        <w:pStyle w:val="Heading3"/>
        <w:numPr>
          <w:ilvl w:val="2"/>
          <w:numId w:val="2"/>
        </w:numPr>
        <w:ind w:hanging="0" w:start="0"/>
        <w:rPr/>
      </w:pPr>
      <w:bookmarkStart w:id="51" w:name="__RefHeading___Toc56124_880593128"/>
      <w:bookmarkEnd w:id="51"/>
      <w:r>
        <w:rPr/>
        <w:t>4. Itemized Consequences</w:t>
      </w:r>
    </w:p>
    <w:p>
      <w:pPr>
        <w:pStyle w:val="BodyText"/>
        <w:numPr>
          <w:ilvl w:val="0"/>
          <w:numId w:val="20"/>
        </w:numPr>
        <w:rPr/>
      </w:pPr>
      <w:r>
        <w:rPr>
          <w:rStyle w:val="Strong"/>
        </w:rPr>
        <w:t>NRIs disenfranchised:</w:t>
      </w:r>
      <w:r>
        <w:rPr/>
        <w:t xml:space="preserve"> Cannot attend physical meetings. Cannot vote on association matters. No voice in property management.</w:t>
      </w:r>
    </w:p>
    <w:p>
      <w:pPr>
        <w:pStyle w:val="BodyText"/>
        <w:numPr>
          <w:ilvl w:val="0"/>
          <w:numId w:val="20"/>
        </w:numPr>
        <w:rPr/>
      </w:pPr>
      <w:r>
        <w:rPr>
          <w:rStyle w:val="Strong"/>
        </w:rPr>
        <w:t>Physically disabled excluded:</w:t>
      </w:r>
      <w:r>
        <w:rPr/>
        <w:t xml:space="preserve"> Cannot easily attend meetings. Effectively excluded from governance.</w:t>
      </w:r>
    </w:p>
    <w:p>
      <w:pPr>
        <w:pStyle w:val="BodyText"/>
        <w:numPr>
          <w:ilvl w:val="0"/>
          <w:numId w:val="20"/>
        </w:numPr>
        <w:rPr/>
      </w:pPr>
      <w:r>
        <w:rPr>
          <w:rStyle w:val="Strong"/>
        </w:rPr>
        <w:t>No prior approval of urgent expenditure:</w:t>
      </w:r>
      <w:r>
        <w:rPr/>
        <w:t xml:space="preserve"> EC spends on "urgent" repairs. Owners only discover months later.</w:t>
      </w:r>
    </w:p>
    <w:p>
      <w:pPr>
        <w:pStyle w:val="BodyText"/>
        <w:numPr>
          <w:ilvl w:val="0"/>
          <w:numId w:val="20"/>
        </w:numPr>
        <w:rPr/>
      </w:pPr>
      <w:r>
        <w:rPr>
          <w:rStyle w:val="Strong"/>
        </w:rPr>
        <w:t>Post-facto ratification loophole:</w:t>
      </w:r>
      <w:r>
        <w:rPr/>
        <w:t xml:space="preserve"> If GBM rejects expenditure, no mechanism to reverse. EC may not be personally liable.</w:t>
      </w:r>
    </w:p>
    <w:p>
      <w:pPr>
        <w:pStyle w:val="BodyText"/>
        <w:numPr>
          <w:ilvl w:val="0"/>
          <w:numId w:val="20"/>
        </w:numPr>
        <w:rPr/>
      </w:pPr>
      <w:r>
        <w:rPr>
          <w:rStyle w:val="Strong"/>
        </w:rPr>
        <w:t>Inability to build consensus:</w:t>
      </w:r>
      <w:r>
        <w:rPr/>
        <w:t xml:space="preserve"> Consensus difficult through physical meetings. Electronic voting increases participation.</w:t>
      </w:r>
    </w:p>
    <w:p>
      <w:pPr>
        <w:pStyle w:val="BodyText"/>
        <w:numPr>
          <w:ilvl w:val="0"/>
          <w:numId w:val="20"/>
        </w:numPr>
        <w:rPr/>
      </w:pPr>
      <w:r>
        <w:rPr>
          <w:rStyle w:val="Strong"/>
        </w:rPr>
        <w:t>Out of step with modern governance:</w:t>
      </w:r>
      <w:r>
        <w:rPr/>
        <w:t xml:space="preserve"> Companies Act 2013 permits e-voting. KAOMA is regressive.</w:t>
      </w:r>
    </w:p>
    <w:p>
      <w:pPr>
        <w:pStyle w:val="Heading3"/>
        <w:numPr>
          <w:ilvl w:val="0"/>
          <w:numId w:val="0"/>
        </w:numPr>
        <w:ind w:hanging="0" w:start="0"/>
        <w:rPr/>
      </w:pPr>
      <w:bookmarkStart w:id="52" w:name="__RefHeading___Toc56126_880593128"/>
      <w:bookmarkEnd w:id="52"/>
      <w:r>
        <w:rPr/>
        <w:t>5. Atomic Changes Required</w:t>
      </w:r>
    </w:p>
    <w:p>
      <w:pPr>
        <w:pStyle w:val="BodyText"/>
        <w:rPr/>
      </w:pPr>
      <w:r>
        <w:rPr>
          <w:rStyle w:val="Strong"/>
        </w:rPr>
        <w:t>Change 1: New Section 36A (Electronic Voting and Virtual Meetings)</w:t>
      </w:r>
    </w:p>
    <w:p>
      <w:pPr>
        <w:pStyle w:val="BodyText"/>
        <w:rPr/>
      </w:pPr>
      <w:r>
        <w:rPr>
          <w:rStyle w:val="Emphasis"/>
        </w:rPr>
        <w:t>Add:</w:t>
      </w:r>
      <w:r>
        <w:rPr/>
        <w:br/>
        <w:t>"36A. Electronic Voting and Virtual Meetings</w:t>
      </w:r>
    </w:p>
    <w:p>
      <w:pPr>
        <w:pStyle w:val="BodyText"/>
        <w:rPr/>
      </w:pPr>
      <w:r>
        <w:rPr/>
        <w:t>(1) The association may, by a resolution of the Executive Committee, provide for electronic voting for any matter requiring the approval of the general body, including but not limited to:</w:t>
        <w:br/>
        <w:t>(a) amendment of bye-laws;</w:t>
        <w:br/>
        <w:t>(b) approval of annual budgets and accounts;</w:t>
        <w:br/>
        <w:t>(c) election of members of the Executive Committee;</w:t>
        <w:br/>
        <w:t>(d) approval of major repairs or reconstruction;</w:t>
        <w:br/>
        <w:t>(e) approval of redevelopment.</w:t>
      </w:r>
    </w:p>
    <w:p>
      <w:pPr>
        <w:pStyle w:val="BodyText"/>
        <w:rPr/>
      </w:pPr>
      <w:r>
        <w:rPr/>
        <w:t>(2) The association may conduct general body meetings as virtual meetings or hybrid meetings, where apartment owners may participate either physically or through electronic means.</w:t>
      </w:r>
    </w:p>
    <w:p>
      <w:pPr>
        <w:pStyle w:val="BodyText"/>
        <w:rPr/>
      </w:pPr>
      <w:r>
        <w:rPr/>
        <w:t>(3) The Government shall, within one year from the date of commencement of this Act, prescribe:</w:t>
        <w:br/>
        <w:t>(a) the technical standards and security requirements for electronic voting systems;</w:t>
        <w:br/>
        <w:t>(b) the procedure for conducting electronic voting and virtual meetings;</w:t>
        <w:br/>
        <w:t>(c) the manner of providing notice to apartment owners for electronic voting and virtual meetings;</w:t>
        <w:br/>
        <w:t>(d) the procedure for verification of identity of apartment owners participating in electronic voting;</w:t>
        <w:br/>
        <w:t>(e) the manner of recording and preserving votes cast through electronic means.</w:t>
      </w:r>
    </w:p>
    <w:p>
      <w:pPr>
        <w:pStyle w:val="BodyText"/>
        <w:rPr/>
      </w:pPr>
      <w:r>
        <w:rPr/>
        <w:t>(4) Any apartment owner who participates in a virtual meeting or casts a vote through electronic voting shall be deemed to be present at the meeting for all purposes, including for the purpose of quorum.</w:t>
      </w:r>
    </w:p>
    <w:p>
      <w:pPr>
        <w:pStyle w:val="BodyText"/>
        <w:rPr/>
      </w:pPr>
      <w:r>
        <w:rPr/>
        <w:t>(5) The records of electronic voting and virtual meetings shall be maintained by the association and shall be made available for inspection by any apartment owner upon request.</w:t>
      </w:r>
    </w:p>
    <w:p>
      <w:pPr>
        <w:pStyle w:val="BodyText"/>
        <w:rPr/>
      </w:pPr>
      <w:r>
        <w:rPr/>
        <w:t>(6) Any dispute relating to electronic voting or virtual meetings shall be referred to the Competent Authority in accordance with the provisions of this Act."</w:t>
      </w:r>
    </w:p>
    <w:p>
      <w:pPr>
        <w:pStyle w:val="BodyText"/>
        <w:rPr/>
      </w:pPr>
      <w:r>
        <w:rPr>
          <w:rStyle w:val="Strong"/>
        </w:rPr>
        <w:t>Change 2: Amend KAOMA#31(2)</w:t>
      </w:r>
    </w:p>
    <w:p>
      <w:pPr>
        <w:pStyle w:val="BodyText"/>
        <w:rPr/>
      </w:pPr>
      <w:r>
        <w:rPr>
          <w:rStyle w:val="Emphasis"/>
        </w:rPr>
        <w:t>Add:</w:t>
      </w:r>
      <w:r>
        <w:rPr/>
        <w:t xml:space="preserve"> "or participating through electronic voting" after "present and voting."</w:t>
      </w:r>
    </w:p>
    <w:p>
      <w:pPr>
        <w:pStyle w:val="BodyText"/>
        <w:rPr/>
      </w:pPr>
      <w:r>
        <w:rPr>
          <w:rStyle w:val="Emphasis"/>
        </w:rPr>
        <w:t>Add:</w:t>
      </w:r>
      <w:r>
        <w:rPr/>
        <w:t xml:space="preserve"> "Provided that where electronic voting is employed, the quorum shall be calculated based on the total number of apartment owners who have cast their votes, whether physically present or through electronic means."</w:t>
      </w:r>
    </w:p>
    <w:p>
      <w:pPr>
        <w:pStyle w:val="BodyText"/>
        <w:rPr/>
      </w:pPr>
      <w:r>
        <w:rPr>
          <w:rStyle w:val="Strong"/>
        </w:rPr>
        <w:t>Change 3: Amend KAOMA#31(8)</w:t>
      </w:r>
    </w:p>
    <w:p>
      <w:pPr>
        <w:pStyle w:val="BodyText"/>
        <w:rPr/>
      </w:pPr>
      <w:r>
        <w:rPr>
          <w:rStyle w:val="Emphasis"/>
        </w:rPr>
        <w:t>Add:</w:t>
      </w:r>
      <w:r>
        <w:rPr/>
        <w:t xml:space="preserve"> "Provided further that where the general body, at the meeting convened for ratification, rejects the expenditure incurred by the Executive Committee under this sub-section, the Executive Committee members who authorised the expenditure shall be jointly and severally liable to reimburse the association for such expenditure, unless they establish that the expenditure was bona fide and reasonably incurred in the interest of safety or protection of the property. The Executive Committee may, in cases of genuine urgency, seek prior approval of the general body through an electronic poll, and if approved by a simple majority of the apartment owners participating in such poll, such approval shall be deemed to be the approval of the general body for the purposes of this sub-section."</w:t>
      </w:r>
    </w:p>
    <w:p>
      <w:pPr>
        <w:pStyle w:val="BodyText"/>
        <w:rPr/>
      </w:pPr>
      <w:r>
        <w:rPr>
          <w:rStyle w:val="Strong"/>
        </w:rPr>
        <w:t>Change 4: Amend KAOMA#35(1)</w:t>
      </w:r>
    </w:p>
    <w:p>
      <w:pPr>
        <w:pStyle w:val="BodyText"/>
        <w:rPr/>
      </w:pPr>
      <w:r>
        <w:rPr>
          <w:rStyle w:val="Emphasis"/>
        </w:rPr>
        <w:t>Add:</w:t>
      </w:r>
      <w:r>
        <w:rPr/>
        <w:t xml:space="preserve"> "or through electronic voting" after "in a general body meeting."</w:t>
      </w:r>
    </w:p>
    <w:p>
      <w:pPr>
        <w:pStyle w:val="BodyText"/>
        <w:rPr/>
      </w:pPr>
      <w:r>
        <w:rPr>
          <w:rStyle w:val="Strong"/>
        </w:rPr>
        <w:t>Change 5: Amend KAOMA#50(3)</w:t>
      </w:r>
    </w:p>
    <w:p>
      <w:pPr>
        <w:pStyle w:val="BodyText"/>
        <w:rPr/>
      </w:pPr>
      <w:r>
        <w:rPr>
          <w:rStyle w:val="Emphasis"/>
        </w:rPr>
        <w:t>Add:</w:t>
      </w:r>
      <w:r>
        <w:rPr/>
        <w:t xml:space="preserve"> "or through an electronic poll conducted for that purpose" after "general body meeting convened for that purpose."</w:t>
      </w:r>
    </w:p>
    <w:p>
      <w:pPr>
        <w:pStyle w:val="Heading3"/>
        <w:numPr>
          <w:ilvl w:val="2"/>
          <w:numId w:val="2"/>
        </w:numPr>
        <w:ind w:hanging="0" w:start="0"/>
        <w:rPr/>
      </w:pPr>
      <w:bookmarkStart w:id="53" w:name="__RefHeading___Toc56128_880593128"/>
      <w:bookmarkEnd w:id="53"/>
      <w:r>
        <w:rPr/>
        <w:t>6. Justification</w:t>
      </w:r>
    </w:p>
    <w:p>
      <w:pPr>
        <w:pStyle w:val="BodyText"/>
        <w:rPr/>
      </w:pPr>
      <w:r>
        <w:rPr/>
        <w:t>The absence of electronic voting and virtual meetings is not a minor omission. It disenfranchises NRIs, physically disabled owners, and those who travel frequently. It prevents real-time owner participation in urgent decisions. It creates a post-facto ratification loophole.</w:t>
      </w:r>
    </w:p>
    <w:p>
      <w:pPr>
        <w:pStyle w:val="BodyText"/>
        <w:rPr/>
      </w:pPr>
      <w:r>
        <w:rPr/>
        <w:t>The amendments:</w:t>
      </w:r>
    </w:p>
    <w:p>
      <w:pPr>
        <w:pStyle w:val="BodyText"/>
        <w:numPr>
          <w:ilvl w:val="0"/>
          <w:numId w:val="21"/>
        </w:numPr>
        <w:rPr/>
      </w:pPr>
      <w:r>
        <w:rPr/>
        <w:t>Enable "any time, any place" participation</w:t>
      </w:r>
    </w:p>
    <w:p>
      <w:pPr>
        <w:pStyle w:val="BodyText"/>
        <w:numPr>
          <w:ilvl w:val="0"/>
          <w:numId w:val="21"/>
        </w:numPr>
        <w:rPr/>
      </w:pPr>
      <w:r>
        <w:rPr/>
        <w:t>Ensure NRIs and non-resident owners are not disenfranchised</w:t>
      </w:r>
    </w:p>
    <w:p>
      <w:pPr>
        <w:pStyle w:val="BodyText"/>
        <w:numPr>
          <w:ilvl w:val="0"/>
          <w:numId w:val="21"/>
        </w:numPr>
        <w:rPr/>
      </w:pPr>
      <w:r>
        <w:rPr/>
        <w:t>Provide a mechanism for effective general body oversight of EC decisions</w:t>
      </w:r>
    </w:p>
    <w:p>
      <w:pPr>
        <w:pStyle w:val="BodyText"/>
        <w:numPr>
          <w:ilvl w:val="0"/>
          <w:numId w:val="21"/>
        </w:numPr>
        <w:rPr/>
      </w:pPr>
      <w:r>
        <w:rPr/>
        <w:t>Address the governance gap created by post-facto ratification</w:t>
      </w:r>
    </w:p>
    <w:p>
      <w:pPr>
        <w:pStyle w:val="BodyText"/>
        <w:numPr>
          <w:ilvl w:val="0"/>
          <w:numId w:val="21"/>
        </w:numPr>
        <w:rPr/>
      </w:pPr>
      <w:r>
        <w:rPr/>
        <w:t>Bring KAOMA in line with the Companies Act, 2013 and modern governance standards</w:t>
      </w:r>
    </w:p>
    <w:p>
      <w:pPr>
        <w:pStyle w:val="HorizontalLine"/>
        <w:rPr/>
      </w:pPr>
      <w:r>
        <w:rPr/>
      </w:r>
    </w:p>
    <w:p>
      <w:pPr>
        <w:pStyle w:val="Heading2"/>
        <w:rPr/>
      </w:pPr>
      <w:bookmarkStart w:id="54" w:name="__RefHeading___Toc56130_880593128"/>
      <w:bookmarkEnd w:id="54"/>
      <w:r>
        <w:rPr/>
        <w:t>Appendix 8: The redevelopment deadlock</w:t>
      </w:r>
    </w:p>
    <w:p>
      <w:pPr>
        <w:pStyle w:val="Heading3"/>
        <w:numPr>
          <w:ilvl w:val="0"/>
          <w:numId w:val="2"/>
        </w:numPr>
        <w:ind w:hanging="0" w:start="0"/>
        <w:rPr/>
      </w:pPr>
      <w:bookmarkStart w:id="55" w:name="__RefHeading___Toc56132_880593128"/>
      <w:bookmarkEnd w:id="55"/>
      <w:r>
        <w:rPr/>
        <w:t>1. Problem Statement</w:t>
      </w:r>
    </w:p>
    <w:p>
      <w:pPr>
        <w:pStyle w:val="BodyText"/>
        <w:rPr/>
      </w:pPr>
      <w:r>
        <w:rPr/>
        <w:t>KAOMA#50(3) uses a BUNDLED vote: the association places a single resolution before the general body. If 75% approve, redevelopment is approved for everyone. Those who vote "No" are forcibly bought out at twice the market value, minus depreciation. If the 75% threshold is not met, the project fails.</w:t>
      </w:r>
    </w:p>
    <w:p>
      <w:pPr>
        <w:pStyle w:val="BodyText"/>
        <w:rPr/>
      </w:pPr>
      <w:r>
        <w:rPr/>
        <w:t>This creates a severe perverse incentive. A rational owner who genuinely wants the building fixed faces a critical strategic calculation:</w:t>
      </w:r>
    </w:p>
    <w:p>
      <w:pPr>
        <w:pStyle w:val="BodyText"/>
        <w:numPr>
          <w:ilvl w:val="0"/>
          <w:numId w:val="23"/>
        </w:numPr>
        <w:rPr/>
      </w:pPr>
      <w:r>
        <w:rPr/>
        <w:t>Vote "Yes" and motion passes → Redeveloped home (uncertain quality, timeline)</w:t>
      </w:r>
    </w:p>
    <w:p>
      <w:pPr>
        <w:pStyle w:val="BodyText"/>
        <w:numPr>
          <w:ilvl w:val="0"/>
          <w:numId w:val="23"/>
        </w:numPr>
        <w:rPr/>
      </w:pPr>
      <w:r>
        <w:rPr/>
        <w:t>Vote "No" and motion fails → Status quo (decaying building)</w:t>
      </w:r>
    </w:p>
    <w:p>
      <w:pPr>
        <w:pStyle w:val="BodyText"/>
        <w:numPr>
          <w:ilvl w:val="0"/>
          <w:numId w:val="23"/>
        </w:numPr>
        <w:rPr/>
      </w:pPr>
      <w:r>
        <w:rPr/>
        <w:t>Vote "No" and motion passes → 2x windfall (massive liquidity premium)</w:t>
      </w:r>
    </w:p>
    <w:p>
      <w:pPr>
        <w:pStyle w:val="BodyText"/>
        <w:rPr/>
      </w:pPr>
      <w:r>
        <w:rPr>
          <w:rStyle w:val="Strong"/>
        </w:rPr>
        <w:t>∴</w:t>
      </w:r>
      <w:r>
        <w:rPr/>
        <w:t xml:space="preserve"> </w:t>
      </w:r>
      <w:r>
        <w:rPr/>
        <w:t>Voting "No" is the dominant strategy for anyone seeking to maximize personal financial outcome. ⇔ Nash equilibrium = failure to reach 75%. Everyone loses.</w:t>
      </w:r>
    </w:p>
    <w:p>
      <w:pPr>
        <w:pStyle w:val="Heading3"/>
        <w:numPr>
          <w:ilvl w:val="2"/>
          <w:numId w:val="2"/>
        </w:numPr>
        <w:ind w:hanging="0" w:start="0"/>
        <w:rPr/>
      </w:pPr>
      <w:bookmarkStart w:id="56" w:name="__RefHeading___Toc56134_880593128"/>
      <w:bookmarkEnd w:id="56"/>
      <w:r>
        <w:rPr/>
        <w:t>2. Sections Involved</w:t>
      </w:r>
    </w:p>
    <w:p>
      <w:pPr>
        <w:pStyle w:val="BodyText"/>
        <w:numPr>
          <w:ilvl w:val="0"/>
          <w:numId w:val="22"/>
        </w:numPr>
        <w:rPr/>
      </w:pPr>
      <w:r>
        <w:rPr/>
        <w:t>KAOMA#50(3): "A resolution approving redevelopment shall be valid only if it is passed with the written consent of not less than seventy-five per cent of the apartment owners... and such resolution shall be binding on all apartment owners."</w:t>
      </w:r>
    </w:p>
    <w:p>
      <w:pPr>
        <w:pStyle w:val="BodyText"/>
        <w:numPr>
          <w:ilvl w:val="0"/>
          <w:numId w:val="22"/>
        </w:numPr>
        <w:rPr/>
      </w:pPr>
      <w:r>
        <w:rPr/>
        <w:t>KAOMA#50(5): "The monetary settlement payable to such apartment owner shall not be less than two times of the market value of the apartment... provided that the market value under this section shall be determined by the Valuer registered recognized by the Income Tax Department."</w:t>
      </w:r>
    </w:p>
    <w:p>
      <w:pPr>
        <w:pStyle w:val="BodyText"/>
        <w:numPr>
          <w:ilvl w:val="0"/>
          <w:numId w:val="22"/>
        </w:numPr>
        <w:rPr/>
      </w:pPr>
      <w:r>
        <w:rPr/>
        <w:t>KAOMA#50(10): UDI of remaining owners not recalculated after buyout.</w:t>
      </w:r>
    </w:p>
    <w:p>
      <w:pPr>
        <w:pStyle w:val="BodyText"/>
        <w:numPr>
          <w:ilvl w:val="0"/>
          <w:numId w:val="22"/>
        </w:numPr>
        <w:rPr/>
      </w:pPr>
      <w:r>
        <w:rPr/>
        <w:t>KAOMA#50(11): Membership status of dissenters unclear.</w:t>
      </w:r>
    </w:p>
    <w:p>
      <w:pPr>
        <w:pStyle w:val="Heading3"/>
        <w:numPr>
          <w:ilvl w:val="0"/>
          <w:numId w:val="0"/>
        </w:numPr>
        <w:ind w:hanging="0" w:start="0"/>
        <w:rPr/>
      </w:pPr>
      <w:bookmarkStart w:id="57" w:name="__RefHeading___Toc56136_880593128"/>
      <w:bookmarkEnd w:id="57"/>
      <w:r>
        <w:rPr/>
        <w:t>3. Causal Chain</w:t>
      </w:r>
    </w:p>
    <w:p>
      <w:pPr>
        <w:pStyle w:val="BodyText"/>
        <w:rPr/>
      </w:pPr>
      <w:r>
        <w:rPr/>
        <w:t>1.1: #50(3) → Bundled vote (redevelopment + buyout together).</w:t>
        <w:br/>
        <w:t>→ Vote "Yes" or "No" on a single resolution.</w:t>
      </w:r>
    </w:p>
    <w:p>
      <w:pPr>
        <w:pStyle w:val="BodyText"/>
        <w:rPr/>
      </w:pPr>
      <w:r>
        <w:rPr/>
        <w:t>1.2: #50(5) → Those who vote "No" get 2x buyout if project passes.</w:t>
        <w:br/>
        <w:t>→ Voting "No" offers windfall. Voting "Yes" offers only uncertain redeveloped home.</w:t>
      </w:r>
    </w:p>
    <w:p>
      <w:pPr>
        <w:pStyle w:val="BodyText"/>
        <w:rPr/>
      </w:pPr>
      <w:r>
        <w:rPr/>
        <w:t>1.3: Rational owner calculates:</w:t>
        <w:br/>
        <w:t>1.3.1: Vote "No" + Project fails → Status quo (no loss)</w:t>
        <w:br/>
        <w:t>1.3.2: Vote "No" + Project passes → 2x windfall (gain)</w:t>
        <w:br/>
        <w:t>1.3.3: Vote "Yes" + Project passes → Uncertain outcome (risk)</w:t>
        <w:br/>
        <w:t>1.3.4: Vote "Yes" + Project fails → Status quo (no gain)</w:t>
      </w:r>
    </w:p>
    <w:p>
      <w:pPr>
        <w:pStyle w:val="BodyText"/>
        <w:rPr/>
      </w:pPr>
      <w:r>
        <w:rPr/>
        <w:t>1.4: Voting "No" is the dominant strategy.</w:t>
        <w:br/>
        <w:t>→ Nash equilibrium: Everyone votes "No."</w:t>
      </w:r>
    </w:p>
    <w:p>
      <w:pPr>
        <w:pStyle w:val="BodyText"/>
        <w:rPr/>
      </w:pPr>
      <w:r>
        <w:rPr/>
        <w:t>1.5: 75% threshold not reached → Project fails.</w:t>
        <w:br/>
        <w:t>→ Building continues to decay. Everyone loses.</w:t>
      </w:r>
    </w:p>
    <w:p>
      <w:pPr>
        <w:pStyle w:val="BodyText"/>
        <w:rPr/>
      </w:pPr>
      <w:r>
        <w:rPr>
          <w:rStyle w:val="Strong"/>
        </w:rPr>
        <w:t>Final Consequence:</w:t>
      </w:r>
      <w:r>
        <w:rPr/>
        <w:t xml:space="preserve"> The bundled vote + 2x multiplier creates a perverse incentive that guarantees failure. The building decays. Everyone loses.</w:t>
      </w:r>
    </w:p>
    <w:p>
      <w:pPr>
        <w:pStyle w:val="Heading3"/>
        <w:numPr>
          <w:ilvl w:val="2"/>
          <w:numId w:val="2"/>
        </w:numPr>
        <w:ind w:hanging="0" w:start="0"/>
        <w:rPr/>
      </w:pPr>
      <w:bookmarkStart w:id="58" w:name="__RefHeading___Toc56138_880593128"/>
      <w:bookmarkEnd w:id="58"/>
      <w:r>
        <w:rPr/>
        <w:t>4. Itemized Consequences</w:t>
      </w:r>
    </w:p>
    <w:p>
      <w:pPr>
        <w:pStyle w:val="BodyText"/>
        <w:numPr>
          <w:ilvl w:val="0"/>
          <w:numId w:val="24"/>
        </w:numPr>
        <w:rPr/>
      </w:pPr>
      <w:r>
        <w:rPr>
          <w:rStyle w:val="Strong"/>
        </w:rPr>
        <w:t>Perverse incentive to vote "No":</w:t>
      </w:r>
      <w:r>
        <w:rPr/>
        <w:t xml:space="preserve"> Voting "No" offers windfall if project passes. Voting "Yes" offers only uncertainty.</w:t>
      </w:r>
    </w:p>
    <w:p>
      <w:pPr>
        <w:pStyle w:val="BodyText"/>
        <w:numPr>
          <w:ilvl w:val="0"/>
          <w:numId w:val="24"/>
        </w:numPr>
        <w:rPr/>
      </w:pPr>
      <w:r>
        <w:rPr>
          <w:rStyle w:val="Strong"/>
        </w:rPr>
        <w:t>Collective action failure:</w:t>
      </w:r>
      <w:r>
        <w:rPr/>
        <w:t xml:space="preserve"> Nash equilibrium = failure to reach 75%. Everyone votes "No." Building decays.</w:t>
      </w:r>
    </w:p>
    <w:p>
      <w:pPr>
        <w:pStyle w:val="BodyText"/>
        <w:numPr>
          <w:ilvl w:val="0"/>
          <w:numId w:val="24"/>
        </w:numPr>
        <w:rPr/>
      </w:pPr>
      <w:r>
        <w:rPr>
          <w:rStyle w:val="Strong"/>
        </w:rPr>
        <w:t>Forced expulsion of 25%:</w:t>
      </w:r>
      <w:r>
        <w:rPr/>
        <w:t xml:space="preserve"> Owners who support redevelopment can be forcibly bought out. Violates property rights.</w:t>
      </w:r>
    </w:p>
    <w:p>
      <w:pPr>
        <w:pStyle w:val="BodyText"/>
        <w:numPr>
          <w:ilvl w:val="0"/>
          <w:numId w:val="24"/>
        </w:numPr>
        <w:rPr/>
      </w:pPr>
      <w:r>
        <w:rPr>
          <w:rStyle w:val="Strong"/>
        </w:rPr>
        <w:t>Subjective market value disputes:</w:t>
      </w:r>
      <w:r>
        <w:rPr/>
        <w:t xml:space="preserve"> "Market value" subjective. Association hires low valuer; owner hires high valuer. Litigation.</w:t>
      </w:r>
    </w:p>
    <w:p>
      <w:pPr>
        <w:pStyle w:val="BodyText"/>
        <w:numPr>
          <w:ilvl w:val="0"/>
          <w:numId w:val="24"/>
        </w:numPr>
        <w:rPr/>
      </w:pPr>
      <w:r>
        <w:rPr>
          <w:rStyle w:val="Strong"/>
        </w:rPr>
        <w:t>No independent valuation mechanism:</w:t>
      </w:r>
      <w:r>
        <w:rPr/>
        <w:t xml:space="preserve"> No Tribunal or independent body to resolve disputes.</w:t>
      </w:r>
    </w:p>
    <w:p>
      <w:pPr>
        <w:pStyle w:val="BodyText"/>
        <w:numPr>
          <w:ilvl w:val="0"/>
          <w:numId w:val="24"/>
        </w:numPr>
        <w:rPr/>
      </w:pPr>
      <w:r>
        <w:rPr>
          <w:rStyle w:val="Strong"/>
        </w:rPr>
        <w:t>Information asymmetry:</w:t>
      </w:r>
      <w:r>
        <w:rPr/>
        <w:t xml:space="preserve"> Owners vote without knowing developer, plans, timeline, transit costs.</w:t>
      </w:r>
    </w:p>
    <w:p>
      <w:pPr>
        <w:pStyle w:val="Heading3"/>
        <w:numPr>
          <w:ilvl w:val="0"/>
          <w:numId w:val="0"/>
        </w:numPr>
        <w:ind w:hanging="0" w:start="0"/>
        <w:rPr/>
      </w:pPr>
      <w:bookmarkStart w:id="59" w:name="__RefHeading___Toc56140_880593128"/>
      <w:bookmarkEnd w:id="59"/>
      <w:r>
        <w:rPr/>
        <w:t>5. Atomic Changes Required</w:t>
      </w:r>
    </w:p>
    <w:p>
      <w:pPr>
        <w:pStyle w:val="BodyText"/>
        <w:rPr/>
      </w:pPr>
      <w:r>
        <w:rPr>
          <w:rStyle w:val="Strong"/>
        </w:rPr>
        <w:t>Change 1: Amend KAOMA#50(3) (Two-Stage Unbundled Vote)</w:t>
      </w:r>
    </w:p>
    <w:p>
      <w:pPr>
        <w:pStyle w:val="BodyText"/>
        <w:rPr/>
      </w:pPr>
      <w:r>
        <w:rPr>
          <w:rStyle w:val="Emphasis"/>
        </w:rPr>
        <w:t>Replace:</w:t>
      </w:r>
      <w:r>
        <w:rPr/>
        <w:br/>
        <w:t>"50(3) A resolution approving redevelopment shall be passed in two stages:</w:t>
      </w:r>
    </w:p>
    <w:p>
      <w:pPr>
        <w:pStyle w:val="BodyText"/>
        <w:rPr/>
      </w:pPr>
      <w:r>
        <w:rPr>
          <w:rStyle w:val="Strong"/>
        </w:rPr>
        <w:t>Stage 1 - The Collective Decision:</w:t>
      </w:r>
      <w:r>
        <w:rPr/>
        <w:br/>
        <w:t>The association places a resolution: 'Do we, in principle, approve redevelopment of this building?' This resolution must be accompanied by legally binding, fully particularised terms: the identified developer (with RERA credentials), the complete architectural plans and specifications, the exact timeline, and the guaranteed monthly transit accommodation allowance for all displaced owners. Owners vote 'Yes' or 'No' on this package. If 90% approve, the project is authorised.</w:t>
      </w:r>
    </w:p>
    <w:p>
      <w:pPr>
        <w:pStyle w:val="BodyText"/>
        <w:rPr/>
      </w:pPr>
      <w:r>
        <w:rPr>
          <w:rStyle w:val="Strong"/>
        </w:rPr>
        <w:t>Stage 2 - The Individual Choice:</w:t>
      </w:r>
      <w:r>
        <w:rPr/>
        <w:br/>
        <w:t>Once redevelopment is approved, each owner independently chooses: 'Do I stay in the redeveloped project, or do I opt out and sell my apartment plus UDI at a fair, independent market valuation (without the 2x multiplier)?' There is no coercion; those who opt out are bought out at a reasonable price, and those who stay sign up for the new construction."</w:t>
      </w:r>
    </w:p>
    <w:p>
      <w:pPr>
        <w:pStyle w:val="BodyText"/>
        <w:rPr/>
      </w:pPr>
      <w:r>
        <w:rPr>
          <w:rStyle w:val="Strong"/>
        </w:rPr>
        <w:t>Change 2: Amend KAOMA#50(3) (Threshold)</w:t>
      </w:r>
    </w:p>
    <w:p>
      <w:pPr>
        <w:pStyle w:val="BodyText"/>
        <w:rPr/>
      </w:pPr>
      <w:r>
        <w:rPr>
          <w:rStyle w:val="Emphasis"/>
        </w:rPr>
        <w:t>Replace:</w:t>
      </w:r>
      <w:r>
        <w:rPr/>
        <w:t xml:space="preserve"> "not less than ninety percent" in place of "not less than seventy-five per cent."</w:t>
      </w:r>
    </w:p>
    <w:p>
      <w:pPr>
        <w:pStyle w:val="BodyText"/>
        <w:rPr/>
      </w:pPr>
      <w:r>
        <w:rPr>
          <w:rStyle w:val="Strong"/>
        </w:rPr>
        <w:t>Change 3: Amend KAOMA#50(5) (Valuation Tribunal)</w:t>
      </w:r>
    </w:p>
    <w:p>
      <w:pPr>
        <w:pStyle w:val="BodyText"/>
        <w:rPr/>
      </w:pPr>
      <w:r>
        <w:rPr>
          <w:rStyle w:val="Emphasis"/>
        </w:rPr>
        <w:t>Replace:</w:t>
      </w:r>
      <w:r>
        <w:rPr/>
        <w:br/>
        <w:t>"The monetary settlement payable to an apartment owner who does not consent to redevelopment shall be determined by a Tribunal comprising:</w:t>
        <w:br/>
        <w:t>(a) a retired District Judge as Chairperson;</w:t>
        <w:br/>
        <w:t>(b) a registered valuer empanelled with the Income Tax Department; and</w:t>
        <w:br/>
        <w:t>(c) a technical expert in real estate valuation.</w:t>
        <w:br/>
        <w:t>The Tribunal's determination shall be final and binding."</w:t>
      </w:r>
    </w:p>
    <w:p>
      <w:pPr>
        <w:pStyle w:val="BodyText"/>
        <w:rPr/>
      </w:pPr>
      <w:r>
        <w:rPr>
          <w:rStyle w:val="Strong"/>
        </w:rPr>
        <w:t>Change 4: Amend KAOMA#50(5) (Remove 2x Multiplier)</w:t>
      </w:r>
    </w:p>
    <w:p>
      <w:pPr>
        <w:pStyle w:val="BodyText"/>
        <w:rPr/>
      </w:pPr>
      <w:r>
        <w:rPr>
          <w:rStyle w:val="Emphasis"/>
        </w:rPr>
        <w:t>Add:</w:t>
      </w:r>
      <w:r>
        <w:rPr/>
        <w:t xml:space="preserve"> "No multiplier shall apply. The settlement shall be at fair market value determined by the Tribunal."</w:t>
      </w:r>
    </w:p>
    <w:p>
      <w:pPr>
        <w:pStyle w:val="BodyText"/>
        <w:rPr/>
      </w:pPr>
      <w:r>
        <w:rPr>
          <w:rStyle w:val="Strong"/>
        </w:rPr>
        <w:t>Change 5: Amend KAOMA#50(10)</w:t>
      </w:r>
    </w:p>
    <w:p>
      <w:pPr>
        <w:pStyle w:val="BodyText"/>
        <w:rPr/>
      </w:pPr>
      <w:r>
        <w:rPr>
          <w:rStyle w:val="Emphasis"/>
        </w:rPr>
        <w:t>Add:</w:t>
      </w:r>
      <w:r>
        <w:rPr/>
        <w:t xml:space="preserve"> "Upon acquisition of the dissenting owners' shares, the UDI of the remaining owners shall be re-calculated and re-recorded."</w:t>
      </w:r>
    </w:p>
    <w:p>
      <w:pPr>
        <w:pStyle w:val="BodyText"/>
        <w:rPr/>
      </w:pPr>
      <w:r>
        <w:rPr>
          <w:rStyle w:val="Strong"/>
        </w:rPr>
        <w:t>Change 6: Amend KAOMA#50(10)</w:t>
      </w:r>
    </w:p>
    <w:p>
      <w:pPr>
        <w:pStyle w:val="BodyText"/>
        <w:rPr/>
      </w:pPr>
      <w:r>
        <w:rPr>
          <w:rStyle w:val="Emphasis"/>
        </w:rPr>
        <w:t>Add:</w:t>
      </w:r>
      <w:r>
        <w:rPr/>
        <w:t xml:space="preserve"> "Such owners shall cease to be members of the association upon full payment."</w:t>
      </w:r>
    </w:p>
    <w:p>
      <w:pPr>
        <w:pStyle w:val="Heading3"/>
        <w:numPr>
          <w:ilvl w:val="2"/>
          <w:numId w:val="2"/>
        </w:numPr>
        <w:ind w:hanging="0" w:start="0"/>
        <w:rPr/>
      </w:pPr>
      <w:bookmarkStart w:id="60" w:name="__RefHeading___Toc56142_880593128"/>
      <w:bookmarkEnd w:id="60"/>
      <w:r>
        <w:rPr/>
        <w:t>6. Justification</w:t>
      </w:r>
    </w:p>
    <w:p>
      <w:pPr>
        <w:pStyle w:val="BodyText"/>
        <w:rPr/>
      </w:pPr>
      <w:r>
        <w:rPr/>
        <w:t>The unbundled two-stage vote:</w:t>
      </w:r>
    </w:p>
    <w:p>
      <w:pPr>
        <w:pStyle w:val="BodyText"/>
        <w:numPr>
          <w:ilvl w:val="0"/>
          <w:numId w:val="25"/>
        </w:numPr>
        <w:rPr/>
      </w:pPr>
      <w:r>
        <w:rPr/>
        <w:t>Eliminates the perverse 2x windfall for "No" voters in Stage 1</w:t>
      </w:r>
    </w:p>
    <w:p>
      <w:pPr>
        <w:pStyle w:val="BodyText"/>
        <w:numPr>
          <w:ilvl w:val="0"/>
          <w:numId w:val="25"/>
        </w:numPr>
        <w:rPr/>
      </w:pPr>
      <w:r>
        <w:rPr/>
        <w:t>Allows owners to reveal their true preferences in Stage 2</w:t>
      </w:r>
    </w:p>
    <w:p>
      <w:pPr>
        <w:pStyle w:val="BodyText"/>
        <w:numPr>
          <w:ilvl w:val="0"/>
          <w:numId w:val="25"/>
        </w:numPr>
        <w:rPr/>
      </w:pPr>
      <w:r>
        <w:rPr/>
        <w:t>Requires full disclosure before the first vote</w:t>
      </w:r>
    </w:p>
    <w:p>
      <w:pPr>
        <w:pStyle w:val="BodyText"/>
        <w:numPr>
          <w:ilvl w:val="0"/>
          <w:numId w:val="25"/>
        </w:numPr>
        <w:rPr/>
      </w:pPr>
      <w:r>
        <w:rPr/>
        <w:t>Respects individual autonomy</w:t>
      </w:r>
    </w:p>
    <w:p>
      <w:pPr>
        <w:pStyle w:val="BodyText"/>
        <w:numPr>
          <w:ilvl w:val="0"/>
          <w:numId w:val="25"/>
        </w:numPr>
        <w:rPr/>
      </w:pPr>
      <w:r>
        <w:rPr/>
        <w:t>Is Pareto-superior: the collective gets redevelopment, and each individual chooses their future freely</w:t>
      </w:r>
    </w:p>
    <w:p>
      <w:pPr>
        <w:pStyle w:val="BodyText"/>
        <w:rPr/>
      </w:pPr>
      <w:r>
        <w:rPr/>
        <w:t>The 75% threshold should be increased to 90% because forcing even 25% of owners out of their homes is a serious property rights violation. The threshold for forced buyout should be as high as possible while still allowing redevelopment to proceed.</w:t>
      </w:r>
    </w:p>
    <w:p>
      <w:pPr>
        <w:pStyle w:val="BodyText"/>
        <w:rPr/>
      </w:pPr>
      <w:r>
        <w:rPr/>
        <w:t>The valuation Tribunal ensures independent, objective determination of "market value," preventing disputes and litigation.</w:t>
      </w:r>
    </w:p>
    <w:p>
      <w:pPr>
        <w:pStyle w:val="HorizontalLine"/>
        <w:rPr/>
      </w:pPr>
      <w:r>
        <w:rPr/>
      </w:r>
    </w:p>
    <w:p>
      <w:pPr>
        <w:pStyle w:val="Heading2"/>
        <w:rPr/>
      </w:pPr>
      <w:bookmarkStart w:id="61" w:name="__RefHeading___Toc56144_880593128"/>
      <w:bookmarkEnd w:id="61"/>
      <w:r>
        <w:rPr/>
        <w:t>Appendix 9: The commercialization catastrophe</w:t>
      </w:r>
    </w:p>
    <w:p>
      <w:pPr>
        <w:pStyle w:val="Heading3"/>
        <w:numPr>
          <w:ilvl w:val="0"/>
          <w:numId w:val="2"/>
        </w:numPr>
        <w:ind w:hanging="0" w:start="0"/>
        <w:rPr/>
      </w:pPr>
      <w:bookmarkStart w:id="62" w:name="__RefHeading___Toc56146_880593128"/>
      <w:bookmarkEnd w:id="62"/>
      <w:r>
        <w:rPr/>
        <w:t>1. Problem Statement</w:t>
      </w:r>
    </w:p>
    <w:p>
      <w:pPr>
        <w:pStyle w:val="BodyText"/>
        <w:rPr/>
      </w:pPr>
      <w:r>
        <w:rPr/>
        <w:t>KAOMA removes the residential gatekeeping clause from KAOA Section 2 and provides no change-of-use restriction. This enables conversion of residential flats to commercial uses without approval, with cascading consequences for residents.</w:t>
      </w:r>
    </w:p>
    <w:p>
      <w:pPr>
        <w:pStyle w:val="Heading3"/>
        <w:numPr>
          <w:ilvl w:val="2"/>
          <w:numId w:val="2"/>
        </w:numPr>
        <w:ind w:hanging="0" w:start="0"/>
        <w:rPr/>
      </w:pPr>
      <w:bookmarkStart w:id="63" w:name="__RefHeading___Toc56148_880593128"/>
      <w:bookmarkEnd w:id="63"/>
      <w:r>
        <w:rPr/>
        <w:t>2. Sections Involved</w:t>
      </w:r>
    </w:p>
    <w:p>
      <w:pPr>
        <w:pStyle w:val="BodyText"/>
        <w:numPr>
          <w:ilvl w:val="0"/>
          <w:numId w:val="3"/>
        </w:numPr>
        <w:tabs>
          <w:tab w:val="clear" w:pos="709"/>
          <w:tab w:val="left" w:pos="0" w:leader="none"/>
        </w:tabs>
        <w:ind w:hanging="0" w:start="0"/>
        <w:rPr/>
      </w:pPr>
      <w:r>
        <w:rPr/>
        <w:t>KAOMA#1(3): Applies to projects with 8+ apartments regardless of use</w:t>
      </w:r>
    </w:p>
    <w:p>
      <w:pPr>
        <w:pStyle w:val="BodyText"/>
        <w:numPr>
          <w:ilvl w:val="0"/>
          <w:numId w:val="26"/>
        </w:numPr>
        <w:rPr/>
      </w:pPr>
      <w:r>
        <w:rPr/>
        <w:t>KAOMA#2(b): "Apartment" includes "office, showroom, shop, godown"</w:t>
      </w:r>
    </w:p>
    <w:p>
      <w:pPr>
        <w:pStyle w:val="BodyText"/>
        <w:numPr>
          <w:ilvl w:val="0"/>
          <w:numId w:val="26"/>
        </w:numPr>
        <w:rPr/>
      </w:pPr>
      <w:r>
        <w:rPr/>
        <w:t>KAOMA#18(b): Use only for "purposes for which they are intended"</w:t>
      </w:r>
    </w:p>
    <w:p>
      <w:pPr>
        <w:pStyle w:val="BodyText"/>
        <w:numPr>
          <w:ilvl w:val="0"/>
          <w:numId w:val="26"/>
        </w:numPr>
        <w:rPr/>
      </w:pPr>
      <w:r>
        <w:rPr/>
        <w:t>KAOMA#18(f): Structural alteration restriction (value protection removed)</w:t>
      </w:r>
    </w:p>
    <w:p>
      <w:pPr>
        <w:pStyle w:val="BodyText"/>
        <w:numPr>
          <w:ilvl w:val="0"/>
          <w:numId w:val="26"/>
        </w:numPr>
        <w:rPr/>
      </w:pPr>
      <w:r>
        <w:rPr/>
        <w:t>KAOMA#19: Only catches structural work, not change of use</w:t>
      </w:r>
    </w:p>
    <w:p>
      <w:pPr>
        <w:pStyle w:val="BodyText"/>
        <w:numPr>
          <w:ilvl w:val="0"/>
          <w:numId w:val="26"/>
        </w:numPr>
        <w:rPr/>
      </w:pPr>
      <w:r>
        <w:rPr/>
        <w:t>KAOMA#12(4): Outsiders may access facilities with 2/3 approval of owners present (effectively ~16-17% of total owners)</w:t>
      </w:r>
    </w:p>
    <w:p>
      <w:pPr>
        <w:pStyle w:val="BodyText"/>
        <w:numPr>
          <w:ilvl w:val="0"/>
          <w:numId w:val="26"/>
        </w:numPr>
        <w:rPr/>
      </w:pPr>
      <w:r>
        <w:rPr/>
        <w:t>KAOMA#2(m): Promoter may retain commercial facilities</w:t>
      </w:r>
    </w:p>
    <w:p>
      <w:pPr>
        <w:pStyle w:val="BodyText"/>
        <w:numPr>
          <w:ilvl w:val="0"/>
          <w:numId w:val="26"/>
        </w:numPr>
        <w:rPr/>
      </w:pPr>
      <w:r>
        <w:rPr/>
        <w:t>KAOMA#21(5): Separate associations possible for residential and commercial</w:t>
      </w:r>
    </w:p>
    <w:p>
      <w:pPr>
        <w:pStyle w:val="BodyText"/>
        <w:numPr>
          <w:ilvl w:val="0"/>
          <w:numId w:val="26"/>
        </w:numPr>
        <w:rPr/>
      </w:pPr>
      <w:r>
        <w:rPr/>
        <w:t>KAOMA#21(7): One vote per owner regardless of number of apartments</w:t>
      </w:r>
    </w:p>
    <w:p>
      <w:pPr>
        <w:pStyle w:val="BodyText"/>
        <w:numPr>
          <w:ilvl w:val="0"/>
          <w:numId w:val="26"/>
        </w:numPr>
        <w:rPr/>
      </w:pPr>
      <w:r>
        <w:rPr/>
        <w:t>KAOMA#24(3): Association duty tied to sanctioned plan</w:t>
      </w:r>
    </w:p>
    <w:p>
      <w:pPr>
        <w:pStyle w:val="Heading3"/>
        <w:numPr>
          <w:ilvl w:val="0"/>
          <w:numId w:val="0"/>
        </w:numPr>
        <w:ind w:hanging="0" w:start="0"/>
        <w:rPr/>
      </w:pPr>
      <w:bookmarkStart w:id="64" w:name="__RefHeading___Toc56150_880593128"/>
      <w:bookmarkEnd w:id="64"/>
      <w:r>
        <w:rPr/>
        <w:t>3. Causal Chains</w:t>
      </w:r>
    </w:p>
    <w:p>
      <w:pPr>
        <w:pStyle w:val="BodyText"/>
        <w:rPr/>
      </w:pPr>
      <w:r>
        <w:rPr>
          <w:rStyle w:val="Strong"/>
        </w:rPr>
        <w:t>Chain 1: The Godown Scenario</w:t>
      </w:r>
    </w:p>
    <w:p>
      <w:pPr>
        <w:pStyle w:val="BodyText"/>
        <w:rPr/>
      </w:pPr>
      <w:r>
        <w:rPr/>
        <w:t>1.1: KAOMA#2(b) includes "godown" as an apartment.</w:t>
        <w:br/>
        <w:t>→ A flat can legally be a godown.</w:t>
      </w:r>
    </w:p>
    <w:p>
      <w:pPr>
        <w:pStyle w:val="BodyText"/>
        <w:rPr/>
      </w:pPr>
      <w:r>
        <w:rPr/>
        <w:t>1.2: KAOMA#18(b) permits use for "lawful purposes."</w:t>
        <w:br/>
        <w:t>→ Godown operation is "lawful."</w:t>
      </w:r>
    </w:p>
    <w:p>
      <w:pPr>
        <w:pStyle w:val="BodyText"/>
        <w:rPr/>
      </w:pPr>
      <w:r>
        <w:rPr/>
        <w:t>1.3: KAOMA#19 only catches structural work jeopardizing structural stability.</w:t>
        <w:br/>
        <w:t>→ Converting to godown without structural changes is entirely unrestricted.</w:t>
      </w:r>
    </w:p>
    <w:p>
      <w:pPr>
        <w:pStyle w:val="BodyText"/>
        <w:rPr/>
      </w:pPr>
      <w:r>
        <w:rPr/>
        <w:t>1.4: Heavy delivery trucks arrive at 3 AM.</w:t>
        <w:br/>
        <w:t>→ Reversing, idling engines, loading/unloading.</w:t>
      </w:r>
    </w:p>
    <w:p>
      <w:pPr>
        <w:pStyle w:val="BodyText"/>
        <w:rPr/>
      </w:pPr>
      <w:r>
        <w:rPr/>
        <w:t>1.5: Children playing in common areas exposed to reversing trucks.</w:t>
        <w:br/>
        <w:t>→ Safety risk. Residents cannot prevent it because the use is "lawful."</w:t>
      </w:r>
    </w:p>
    <w:p>
      <w:pPr>
        <w:pStyle w:val="BodyText"/>
        <w:rPr/>
      </w:pPr>
      <w:r>
        <w:rPr/>
        <w:t>1.6: Road damage from heavy vehicles not designed for local streets.</w:t>
        <w:br/>
        <w:t>→ Maintenance costs borne by all owners through common expenses (#9).</w:t>
      </w:r>
    </w:p>
    <w:p>
      <w:pPr>
        <w:pStyle w:val="BodyText"/>
        <w:rPr/>
      </w:pPr>
      <w:r>
        <w:rPr/>
        <w:t>1.7: Property values decline as residential character erodes.</w:t>
        <w:br/>
        <w:t>→ Owners cannot sell at fair price. Trapped in a de facto commercial zone.</w:t>
      </w:r>
    </w:p>
    <w:p>
      <w:pPr>
        <w:pStyle w:val="HorizontalLine"/>
        <w:rPr/>
      </w:pPr>
      <w:r>
        <w:rPr/>
      </w:r>
    </w:p>
    <w:p>
      <w:pPr>
        <w:pStyle w:val="BodyText"/>
        <w:rPr/>
      </w:pPr>
      <w:r>
        <w:rPr>
          <w:rStyle w:val="Strong"/>
        </w:rPr>
        <w:t>Chain 2: The Dark Kitchen Scenario</w:t>
      </w:r>
    </w:p>
    <w:p>
      <w:pPr>
        <w:pStyle w:val="BodyText"/>
        <w:rPr/>
      </w:pPr>
      <w:r>
        <w:rPr/>
        <w:t>2.1: KAOMA#2(b) includes "shop" as an apartment.</w:t>
        <w:br/>
        <w:t>→ A flat can legally be a commercial kitchen.</w:t>
      </w:r>
    </w:p>
    <w:p>
      <w:pPr>
        <w:pStyle w:val="BodyText"/>
        <w:rPr/>
      </w:pPr>
      <w:r>
        <w:rPr/>
        <w:t>2.2: KAOMA#18(b) permits "commercial... lawful purposes."</w:t>
        <w:br/>
        <w:t>→ Dark kitchen operation is "lawful."</w:t>
      </w:r>
    </w:p>
    <w:p>
      <w:pPr>
        <w:pStyle w:val="BodyText"/>
        <w:rPr/>
      </w:pPr>
      <w:r>
        <w:rPr/>
        <w:t>2.3: KAOMA#19 only catches structural work.</w:t>
        <w:br/>
        <w:t>→ Converting to dark kitchen without structural changes is unrestricted.</w:t>
      </w:r>
    </w:p>
    <w:p>
      <w:pPr>
        <w:pStyle w:val="BodyText"/>
        <w:rPr/>
      </w:pPr>
      <w:r>
        <w:rPr/>
        <w:t>2.4: Grease traps overflow, blocking plumbing.</w:t>
        <w:br/>
        <w:t>→ Common areas affected. Repair costs borne by all owners (#9).</w:t>
      </w:r>
    </w:p>
    <w:p>
      <w:pPr>
        <w:pStyle w:val="BodyText"/>
        <w:rPr/>
      </w:pPr>
      <w:r>
        <w:rPr/>
        <w:t>2.5: Cockroaches and rats multiply in common areas.</w:t>
        <w:br/>
        <w:t>→ Health hazard. Residents cannot prevent it.</w:t>
      </w:r>
    </w:p>
    <w:p>
      <w:pPr>
        <w:pStyle w:val="BodyText"/>
        <w:rPr/>
      </w:pPr>
      <w:r>
        <w:rPr/>
        <w:t>2.6: Cooking smells permeate lobbies 24x7.</w:t>
        <w:br/>
        <w:t>→ Quality of life destroyed. No legal remedy.</w:t>
      </w:r>
    </w:p>
    <w:p>
      <w:pPr>
        <w:pStyle w:val="BodyText"/>
        <w:rPr/>
      </w:pPr>
      <w:r>
        <w:rPr/>
        <w:t>2.7: Fire safety systems overloaded by commercial cooking equipment.</w:t>
        <w:br/>
        <w:t>→ Risk to all residents. Association cannot prevent it.</w:t>
      </w:r>
    </w:p>
    <w:p>
      <w:pPr>
        <w:pStyle w:val="HorizontalLine"/>
        <w:rPr/>
      </w:pPr>
      <w:r>
        <w:rPr/>
      </w:r>
    </w:p>
    <w:p>
      <w:pPr>
        <w:pStyle w:val="BodyText"/>
        <w:rPr/>
      </w:pPr>
      <w:r>
        <w:rPr>
          <w:rStyle w:val="Strong"/>
        </w:rPr>
        <w:t>Chain 3: The Serviced Apartment Scenario</w:t>
      </w:r>
    </w:p>
    <w:p>
      <w:pPr>
        <w:pStyle w:val="BodyText"/>
        <w:rPr/>
      </w:pPr>
      <w:r>
        <w:rPr/>
        <w:t>3.1: KAOMA#2(b) permits "commercial" use.</w:t>
        <w:br/>
        <w:t>→ A flat can legally be a hotel/serviced apartment.</w:t>
      </w:r>
    </w:p>
    <w:p>
      <w:pPr>
        <w:pStyle w:val="BodyText"/>
        <w:rPr/>
      </w:pPr>
      <w:r>
        <w:rPr/>
        <w:t>3.2: KAOMA#12(4) allows outsiders with 2/3 approval of owners present.</w:t>
        <w:br/>
        <w:t>→ With 50% quorum, effectively 16-17% of total owners can approve.</w:t>
      </w:r>
    </w:p>
    <w:p>
      <w:pPr>
        <w:pStyle w:val="BodyText"/>
        <w:rPr/>
      </w:pPr>
      <w:r>
        <w:rPr/>
        <w:t>3.3: Strangers check in/out at all hours.</w:t>
        <w:br/>
        <w:t>→ Unknown individuals accessing lifts, corridors, and play areas.</w:t>
      </w:r>
    </w:p>
    <w:p>
      <w:pPr>
        <w:pStyle w:val="BodyText"/>
        <w:rPr/>
      </w:pPr>
      <w:r>
        <w:rPr/>
        <w:t>3.4: Security perimeter collapses.</w:t>
        <w:br/>
        <w:t>→ Children's play areas used by transients.</w:t>
      </w:r>
    </w:p>
    <w:p>
      <w:pPr>
        <w:pStyle w:val="BodyText"/>
        <w:rPr/>
      </w:pPr>
      <w:r>
        <w:rPr/>
        <w:t>3.5: Residents share lifts and amenities with strangers daily.</w:t>
        <w:br/>
        <w:t>→ Safety risk. Dignity of residential living destroyed.</w:t>
      </w:r>
    </w:p>
    <w:p>
      <w:pPr>
        <w:pStyle w:val="BodyText"/>
        <w:rPr/>
      </w:pPr>
      <w:r>
        <w:rPr/>
        <w:t>3.6: Parking chaos from hotel guests.</w:t>
        <w:br/>
        <w:t>→ Visitors' parking occupied. Residents cannot park.</w:t>
      </w:r>
    </w:p>
    <w:p>
      <w:pPr>
        <w:pStyle w:val="HorizontalLine"/>
        <w:rPr/>
      </w:pPr>
      <w:r>
        <w:rPr/>
      </w:r>
    </w:p>
    <w:p>
      <w:pPr>
        <w:pStyle w:val="BodyText"/>
        <w:rPr/>
      </w:pPr>
      <w:r>
        <w:rPr>
          <w:rStyle w:val="Strong"/>
        </w:rPr>
        <w:t>Chain 4: The Cannibalization Effect</w:t>
      </w:r>
    </w:p>
    <w:p>
      <w:pPr>
        <w:pStyle w:val="BodyText"/>
        <w:rPr/>
      </w:pPr>
      <w:r>
        <w:rPr/>
        <w:t>4.1: Commercial uses proliferate (Chains 1-3).</w:t>
        <w:br/>
        <w:t>→ Residential owners flee to independent houses.</w:t>
      </w:r>
    </w:p>
    <w:p>
      <w:pPr>
        <w:pStyle w:val="BodyText"/>
        <w:rPr/>
      </w:pPr>
      <w:r>
        <w:rPr/>
        <w:t>4.2: More units convert to commercial use.</w:t>
        <w:br/>
        <w:t>→ Remaining residential owners trapped.</w:t>
      </w:r>
    </w:p>
    <w:p>
      <w:pPr>
        <w:pStyle w:val="BodyText"/>
        <w:rPr/>
      </w:pPr>
      <w:r>
        <w:rPr/>
        <w:t>4.3: Property values collapse.</w:t>
        <w:br/>
        <w:t>→ Community destroyed.</w:t>
      </w:r>
    </w:p>
    <w:p>
      <w:pPr>
        <w:pStyle w:val="Heading3"/>
        <w:numPr>
          <w:ilvl w:val="2"/>
          <w:numId w:val="2"/>
        </w:numPr>
        <w:ind w:hanging="0" w:start="0"/>
        <w:rPr/>
      </w:pPr>
      <w:bookmarkStart w:id="65" w:name="__RefHeading___Toc56152_880593128"/>
      <w:bookmarkEnd w:id="65"/>
      <w:r>
        <w:rPr/>
        <w:t>4. Itemized Consequences</w:t>
      </w:r>
    </w:p>
    <w:p>
      <w:pPr>
        <w:pStyle w:val="BodyText"/>
        <w:numPr>
          <w:ilvl w:val="0"/>
          <w:numId w:val="4"/>
        </w:numPr>
        <w:tabs>
          <w:tab w:val="clear" w:pos="709"/>
          <w:tab w:val="left" w:pos="0" w:leader="none"/>
        </w:tabs>
        <w:ind w:hanging="0" w:start="0"/>
        <w:rPr/>
      </w:pPr>
      <w:r>
        <w:rPr>
          <w:rStyle w:val="Strong"/>
        </w:rPr>
        <w:t>24/7 godown:</w:t>
      </w:r>
      <w:r>
        <w:rPr/>
        <w:t xml:space="preserve"> 3 AM truck noise; children unsafe; road damage (Chain 1).</w:t>
      </w:r>
    </w:p>
    <w:p>
      <w:pPr>
        <w:pStyle w:val="BodyText"/>
        <w:numPr>
          <w:ilvl w:val="0"/>
          <w:numId w:val="4"/>
        </w:numPr>
        <w:tabs>
          <w:tab w:val="clear" w:pos="709"/>
          <w:tab w:val="left" w:pos="0" w:leader="none"/>
        </w:tabs>
        <w:ind w:hanging="0" w:start="0"/>
        <w:rPr/>
      </w:pPr>
      <w:r>
        <w:rPr>
          <w:rStyle w:val="Strong"/>
        </w:rPr>
        <w:t>Dark kitchen:</w:t>
      </w:r>
      <w:r>
        <w:rPr/>
        <w:t xml:space="preserve"> Grease; cockroaches; cooking smells; fire risk (Chain 2).</w:t>
      </w:r>
    </w:p>
    <w:p>
      <w:pPr>
        <w:pStyle w:val="BodyText"/>
        <w:numPr>
          <w:ilvl w:val="0"/>
          <w:numId w:val="4"/>
        </w:numPr>
        <w:tabs>
          <w:tab w:val="clear" w:pos="709"/>
          <w:tab w:val="left" w:pos="0" w:leader="none"/>
        </w:tabs>
        <w:ind w:hanging="0" w:start="0"/>
        <w:rPr/>
      </w:pPr>
      <w:r>
        <w:rPr>
          <w:rStyle w:val="Strong"/>
        </w:rPr>
        <w:t>Serviced apartments:</w:t>
      </w:r>
      <w:r>
        <w:rPr/>
        <w:t xml:space="preserve"> Strangers; security collapse; children unsafe (Chain 3).</w:t>
      </w:r>
    </w:p>
    <w:p>
      <w:pPr>
        <w:pStyle w:val="BodyText"/>
        <w:numPr>
          <w:ilvl w:val="0"/>
          <w:numId w:val="4"/>
        </w:numPr>
        <w:tabs>
          <w:tab w:val="clear" w:pos="709"/>
          <w:tab w:val="left" w:pos="0" w:leader="none"/>
        </w:tabs>
        <w:ind w:hanging="0" w:start="0"/>
        <w:rPr/>
      </w:pPr>
      <w:r>
        <w:rPr>
          <w:rStyle w:val="Strong"/>
        </w:rPr>
        <w:t>Cannibalization effect:</w:t>
      </w:r>
      <w:r>
        <w:rPr/>
        <w:t xml:space="preserve"> Residential owners flee; more units convert; remaining owners trapped; property values collapse (Chain 4).</w:t>
      </w:r>
    </w:p>
    <w:p>
      <w:pPr>
        <w:pStyle w:val="Heading3"/>
        <w:numPr>
          <w:ilvl w:val="0"/>
          <w:numId w:val="0"/>
        </w:numPr>
        <w:ind w:hanging="0" w:start="0"/>
        <w:rPr/>
      </w:pPr>
      <w:bookmarkStart w:id="66" w:name="__RefHeading___Toc56154_880593128"/>
      <w:bookmarkEnd w:id="66"/>
      <w:r>
        <w:rPr/>
        <w:t>5. Atomic Changes Required</w:t>
      </w:r>
    </w:p>
    <w:p>
      <w:pPr>
        <w:pStyle w:val="BodyText"/>
        <w:rPr/>
      </w:pPr>
      <w:r>
        <w:rPr>
          <w:rStyle w:val="Strong"/>
        </w:rPr>
        <w:t>Change 1: Amend KAOMA#1(3)</w:t>
      </w:r>
    </w:p>
    <w:p>
      <w:pPr>
        <w:pStyle w:val="BodyText"/>
        <w:rPr/>
      </w:pPr>
      <w:r>
        <w:rPr>
          <w:rStyle w:val="Emphasis"/>
        </w:rPr>
        <w:t>Add:</w:t>
      </w:r>
      <w:r>
        <w:rPr/>
        <w:t xml:space="preserve"> "Provided that this Act shall apply only to projects that are substantially residential in character. For the purposes of this Act, a project is 'substantially residential' if at least 80% of the total super built-up area is designated for residential use."</w:t>
      </w:r>
    </w:p>
    <w:p>
      <w:pPr>
        <w:pStyle w:val="BodyText"/>
        <w:rPr/>
      </w:pPr>
      <w:r>
        <w:rPr>
          <w:rStyle w:val="Strong"/>
        </w:rPr>
        <w:t>Change 2: New Section 18B (Restriction on Change of Use)</w:t>
      </w:r>
    </w:p>
    <w:p>
      <w:pPr>
        <w:pStyle w:val="BodyText"/>
        <w:rPr/>
      </w:pPr>
      <w:r>
        <w:rPr>
          <w:rStyle w:val="Emphasis"/>
        </w:rPr>
        <w:t>Add:</w:t>
      </w:r>
      <w:r>
        <w:rPr/>
        <w:br/>
        <w:t>"18B. Restriction on Change of Use</w:t>
      </w:r>
    </w:p>
    <w:p>
      <w:pPr>
        <w:pStyle w:val="BodyText"/>
        <w:rPr/>
      </w:pPr>
      <w:r>
        <w:rPr/>
        <w:t>(1) No apartment owner shall change the use of an apartment from residential to commercial or institutional, or from one commercial use to another, without the prior written approval of the Competent Authority and the consent of not less than 75% of all apartment owners in the project.</w:t>
      </w:r>
    </w:p>
    <w:p>
      <w:pPr>
        <w:pStyle w:val="BodyText"/>
        <w:rPr/>
      </w:pPr>
      <w:r>
        <w:rPr/>
        <w:t>(2) The Competent Authority shall grant approval only after:</w:t>
        <w:br/>
        <w:t>(a) verifying that the proposed change does not violate the sanctioned plan, building bye-laws, or zoning regulations;</w:t>
        <w:br/>
        <w:t>(b) verifying that the proposed change does not compromise the structural stability or fire safety of the building;</w:t>
        <w:br/>
        <w:t>(c) verifying that the proposed change does not create a nuisance or hazard to other residents;</w:t>
        <w:br/>
        <w:t>(d) obtaining a no-objection certificate from the local authority; and</w:t>
        <w:br/>
        <w:t>(e) recording the reasons for granting approval in a public register.</w:t>
      </w:r>
    </w:p>
    <w:p>
      <w:pPr>
        <w:pStyle w:val="BodyText"/>
        <w:rPr/>
      </w:pPr>
      <w:r>
        <w:rPr/>
        <w:t>(3) Any change of use made in contravention of this section shall be void, and the Competent Authority may direct restoration of the apartment to its original use at the cost of the defaulting owner.</w:t>
      </w:r>
    </w:p>
    <w:p>
      <w:pPr>
        <w:pStyle w:val="BodyText"/>
        <w:rPr/>
      </w:pPr>
      <w:r>
        <w:rPr/>
        <w:t>(4) The following uses are specifically prohibited in residential apartments:</w:t>
        <w:br/>
        <w:t>(a) godown or warehouse;</w:t>
        <w:br/>
        <w:t>(b) dark kitchen or cloud kitchen (commercial cooking without a separate license);</w:t>
        <w:br/>
        <w:t>(c) hotel, serviced apartment, or guesthouse providing accommodation on a commercial basis for less than 30 days;</w:t>
        <w:br/>
        <w:t>(d) BPO, call center, or similar 24x7 operations;</w:t>
        <w:br/>
        <w:t>(e) logistics hub or courier sorting center;</w:t>
        <w:br/>
        <w:t>(f) any activity generating heavy vehicle traffic outside normal business hours;</w:t>
        <w:br/>
        <w:t>(g) any activity generating hazardous, inflammable, or combustible materials;</w:t>
        <w:br/>
        <w:t>(h) any activity generating noise, odor, or vibration that is likely to cause nuisance to other residents."</w:t>
      </w:r>
    </w:p>
    <w:p>
      <w:pPr>
        <w:pStyle w:val="BodyText"/>
        <w:rPr/>
      </w:pPr>
      <w:r>
        <w:rPr>
          <w:rStyle w:val="Strong"/>
        </w:rPr>
        <w:t>Change 3: Amend KAOMA#18(f)</w:t>
      </w:r>
    </w:p>
    <w:p>
      <w:pPr>
        <w:pStyle w:val="BodyText"/>
        <w:rPr/>
      </w:pPr>
      <w:r>
        <w:rPr>
          <w:rStyle w:val="Emphasis"/>
        </w:rPr>
        <w:t>Insert:</w:t>
      </w:r>
      <w:r>
        <w:rPr/>
        <w:t xml:space="preserve"> "or reduce the value thereof" after "external appearance."</w:t>
      </w:r>
    </w:p>
    <w:p>
      <w:pPr>
        <w:pStyle w:val="BodyText"/>
        <w:rPr/>
      </w:pPr>
      <w:r>
        <w:rPr>
          <w:rStyle w:val="Strong"/>
        </w:rPr>
        <w:t>Change 4: Amend KAOMA#2(a) and #2(b)</w:t>
      </w:r>
    </w:p>
    <w:p>
      <w:pPr>
        <w:pStyle w:val="BodyText"/>
        <w:rPr/>
      </w:pPr>
      <w:r>
        <w:rPr>
          <w:rStyle w:val="Emphasis"/>
        </w:rPr>
        <w:t>Delete:</w:t>
      </w:r>
      <w:r>
        <w:rPr/>
        <w:t xml:space="preserve"> "office, showroom, shop, godown" from the definitions.</w:t>
      </w:r>
    </w:p>
    <w:p>
      <w:pPr>
        <w:pStyle w:val="Heading3"/>
        <w:numPr>
          <w:ilvl w:val="2"/>
          <w:numId w:val="2"/>
        </w:numPr>
        <w:ind w:hanging="0" w:start="0"/>
        <w:rPr/>
      </w:pPr>
      <w:bookmarkStart w:id="67" w:name="__RefHeading___Toc56156_880593128"/>
      <w:bookmarkEnd w:id="67"/>
      <w:r>
        <w:rPr/>
        <w:t>6. Justification</w:t>
      </w:r>
    </w:p>
    <w:p>
      <w:pPr>
        <w:pStyle w:val="BodyText"/>
        <w:rPr/>
      </w:pPr>
      <w:r>
        <w:rPr/>
        <w:t>The itemized horror scenarios above are not theoretical—they are happening in cities across India where residential gates have been removed. The consequences are devastating:</w:t>
      </w:r>
    </w:p>
    <w:p>
      <w:pPr>
        <w:pStyle w:val="BodyText"/>
        <w:numPr>
          <w:ilvl w:val="0"/>
          <w:numId w:val="27"/>
        </w:numPr>
        <w:rPr/>
      </w:pPr>
      <w:r>
        <w:rPr/>
        <w:t>Families cannot sleep due to 24x7 operations</w:t>
      </w:r>
    </w:p>
    <w:p>
      <w:pPr>
        <w:pStyle w:val="BodyText"/>
        <w:numPr>
          <w:ilvl w:val="0"/>
          <w:numId w:val="27"/>
        </w:numPr>
        <w:rPr/>
      </w:pPr>
      <w:r>
        <w:rPr/>
        <w:t>Children are unsafe due to strangers in common areas</w:t>
      </w:r>
    </w:p>
    <w:p>
      <w:pPr>
        <w:pStyle w:val="BodyText"/>
        <w:numPr>
          <w:ilvl w:val="0"/>
          <w:numId w:val="27"/>
        </w:numPr>
        <w:rPr/>
      </w:pPr>
      <w:r>
        <w:rPr/>
        <w:t>Property values collapse</w:t>
      </w:r>
    </w:p>
    <w:p>
      <w:pPr>
        <w:pStyle w:val="BodyText"/>
        <w:numPr>
          <w:ilvl w:val="0"/>
          <w:numId w:val="27"/>
        </w:numPr>
        <w:rPr/>
      </w:pPr>
      <w:r>
        <w:rPr/>
        <w:t>The community is destroyed</w:t>
      </w:r>
    </w:p>
    <w:p>
      <w:pPr>
        <w:pStyle w:val="BodyText"/>
        <w:numPr>
          <w:ilvl w:val="0"/>
          <w:numId w:val="27"/>
        </w:numPr>
        <w:rPr/>
      </w:pPr>
      <w:r>
        <w:rPr/>
        <w:t>The amendments restore the residential character of apartment ownership law:</w:t>
      </w:r>
    </w:p>
    <w:p>
      <w:pPr>
        <w:pStyle w:val="BodyText"/>
        <w:numPr>
          <w:ilvl w:val="0"/>
          <w:numId w:val="27"/>
        </w:numPr>
        <w:rPr/>
      </w:pPr>
      <w:r>
        <w:rPr/>
        <w:t>Limit applicability to substantially residential projects</w:t>
      </w:r>
    </w:p>
    <w:p>
      <w:pPr>
        <w:pStyle w:val="BodyText"/>
        <w:numPr>
          <w:ilvl w:val="0"/>
          <w:numId w:val="27"/>
        </w:numPr>
        <w:rPr/>
      </w:pPr>
      <w:r>
        <w:rPr/>
        <w:t>Prohibit change of use without approval and 75% consent</w:t>
      </w:r>
    </w:p>
    <w:p>
      <w:pPr>
        <w:pStyle w:val="BodyText"/>
        <w:numPr>
          <w:ilvl w:val="0"/>
          <w:numId w:val="27"/>
        </w:numPr>
        <w:rPr/>
      </w:pPr>
      <w:r>
        <w:rPr/>
        <w:t>Itemize specifically prohibited commercial uses</w:t>
      </w:r>
    </w:p>
    <w:p>
      <w:pPr>
        <w:pStyle w:val="BodyText"/>
        <w:numPr>
          <w:ilvl w:val="0"/>
          <w:numId w:val="27"/>
        </w:numPr>
        <w:rPr/>
      </w:pPr>
      <w:r>
        <w:rPr/>
        <w:t>Restore the "reduce the value" protection</w:t>
      </w:r>
    </w:p>
    <w:p>
      <w:pPr>
        <w:pStyle w:val="BodyText"/>
        <w:rPr/>
      </w:pPr>
      <w:r>
        <w:rPr/>
        <w:t>Without these amendments, KAOMA will legally enshrine a framework for commercial exploitation of residential communities—a dystopian outcome that no housing legislation should ever seek to achieve.</w:t>
      </w:r>
    </w:p>
    <w:p>
      <w:pPr>
        <w:pStyle w:val="HorizontalLine"/>
        <w:rPr/>
      </w:pPr>
      <w:r>
        <w:rPr/>
      </w:r>
    </w:p>
    <w:p>
      <w:pPr>
        <w:pStyle w:val="Heading2"/>
        <w:rPr/>
      </w:pPr>
      <w:bookmarkStart w:id="68" w:name="__RefHeading___Toc56158_880593128"/>
      <w:bookmarkEnd w:id="68"/>
      <w:r>
        <w:rPr/>
        <w:t>Appendix 10: "May" → "Shall" (</w:t>
      </w:r>
      <w:r>
        <w:rPr>
          <w:rStyle w:val="Strong"/>
          <w:b/>
          <w:bCs/>
        </w:rPr>
        <w:t>Mandatory duties</w:t>
      </w:r>
      <w:r>
        <w:rPr/>
        <w:t>)</w:t>
      </w:r>
    </w:p>
    <w:p>
      <w:pPr>
        <w:pStyle w:val="Heading3"/>
        <w:numPr>
          <w:ilvl w:val="0"/>
          <w:numId w:val="2"/>
        </w:numPr>
        <w:ind w:hanging="0" w:start="0"/>
        <w:rPr/>
      </w:pPr>
      <w:bookmarkStart w:id="69" w:name="__RefHeading___Toc56160_880593128"/>
      <w:bookmarkEnd w:id="69"/>
      <w:r>
        <w:rPr/>
        <w:t>1. Problem Statement</w:t>
      </w:r>
    </w:p>
    <w:p>
      <w:pPr>
        <w:pStyle w:val="BodyText"/>
        <w:rPr/>
      </w:pPr>
      <w:r>
        <w:rPr/>
        <w:t>In multiple places, the Bill uses the word "may," which means the action is optional (subject to discretionary powers). The word "shall" is required in those places to denote mandatory enforceable duties. Where the Act prescribes duties, rights, or obligations, "may" renders enforcement optional and allows bureaucratic inaction.</w:t>
      </w:r>
    </w:p>
    <w:p>
      <w:pPr>
        <w:pStyle w:val="Heading3"/>
        <w:numPr>
          <w:ilvl w:val="2"/>
          <w:numId w:val="2"/>
        </w:numPr>
        <w:ind w:hanging="0" w:start="0"/>
        <w:rPr/>
      </w:pPr>
      <w:bookmarkStart w:id="70" w:name="__RefHeading___Toc56162_880593128"/>
      <w:bookmarkEnd w:id="70"/>
      <w:r>
        <w:rPr/>
        <w:t>2. Sections Involved</w:t>
      </w:r>
    </w:p>
    <w:p>
      <w:pPr>
        <w:pStyle w:val="BodyText"/>
        <w:numPr>
          <w:ilvl w:val="0"/>
          <w:numId w:val="28"/>
        </w:numPr>
        <w:rPr/>
      </w:pPr>
      <w:r>
        <w:rPr/>
        <w:t>KAOMA#15(3): "Where the competent authority finds...it may require the association to modify"</w:t>
      </w:r>
    </w:p>
    <w:p>
      <w:pPr>
        <w:pStyle w:val="BodyText"/>
        <w:numPr>
          <w:ilvl w:val="0"/>
          <w:numId w:val="28"/>
        </w:numPr>
        <w:rPr/>
      </w:pPr>
      <w:r>
        <w:rPr/>
        <w:t>KAOMA#20(11): "The competent authority may...pass such orders for recovery"</w:t>
      </w:r>
    </w:p>
    <w:p>
      <w:pPr>
        <w:pStyle w:val="BodyText"/>
        <w:numPr>
          <w:ilvl w:val="0"/>
          <w:numId w:val="28"/>
        </w:numPr>
        <w:rPr/>
      </w:pPr>
      <w:r>
        <w:rPr/>
        <w:t>KAOMA#24(5): "The association may undertake alteration...only with consent of 75%"</w:t>
      </w:r>
    </w:p>
    <w:p>
      <w:pPr>
        <w:pStyle w:val="BodyText"/>
        <w:numPr>
          <w:ilvl w:val="0"/>
          <w:numId w:val="28"/>
        </w:numPr>
        <w:rPr/>
      </w:pPr>
      <w:r>
        <w:rPr/>
        <w:t>KAOMA#25(3) proviso: "Where the federation proposes...it may do so only with the approval"</w:t>
      </w:r>
    </w:p>
    <w:p>
      <w:pPr>
        <w:pStyle w:val="BodyText"/>
        <w:numPr>
          <w:ilvl w:val="0"/>
          <w:numId w:val="28"/>
        </w:numPr>
        <w:rPr/>
      </w:pPr>
      <w:r>
        <w:rPr/>
        <w:t>KAOMA#31(8): "The Executive Committee may undertake such repairs immediately"</w:t>
      </w:r>
    </w:p>
    <w:p>
      <w:pPr>
        <w:pStyle w:val="BodyText"/>
        <w:numPr>
          <w:ilvl w:val="0"/>
          <w:numId w:val="28"/>
        </w:numPr>
        <w:rPr/>
      </w:pPr>
      <w:r>
        <w:rPr/>
        <w:t>KAOMA#40(b): "to appoint one or more persons to conduct such inquiry"</w:t>
      </w:r>
    </w:p>
    <w:p>
      <w:pPr>
        <w:pStyle w:val="BodyText"/>
        <w:numPr>
          <w:ilvl w:val="0"/>
          <w:numId w:val="28"/>
        </w:numPr>
        <w:rPr/>
      </w:pPr>
      <w:r>
        <w:rPr/>
        <w:t>KAOMA#50(5): "The Competent Authority...may refer the case to the Tribunal"</w:t>
      </w:r>
    </w:p>
    <w:p>
      <w:pPr>
        <w:pStyle w:val="BodyText"/>
        <w:numPr>
          <w:ilvl w:val="0"/>
          <w:numId w:val="28"/>
        </w:numPr>
        <w:rPr/>
      </w:pPr>
      <w:r>
        <w:rPr/>
        <w:t>KAOMA#54(1): "The Competent Authority may...impose a penalty"</w:t>
      </w:r>
    </w:p>
    <w:p>
      <w:pPr>
        <w:pStyle w:val="BodyText"/>
        <w:numPr>
          <w:ilvl w:val="0"/>
          <w:numId w:val="28"/>
        </w:numPr>
        <w:rPr/>
      </w:pPr>
      <w:r>
        <w:rPr/>
        <w:t>KAOMA#54(2): "The Competent Authority may...issue a notice"</w:t>
      </w:r>
    </w:p>
    <w:p>
      <w:pPr>
        <w:pStyle w:val="BodyText"/>
        <w:numPr>
          <w:ilvl w:val="0"/>
          <w:numId w:val="28"/>
        </w:numPr>
        <w:rPr/>
      </w:pPr>
      <w:r>
        <w:rPr/>
        <w:t>KAOMA#55(2): "The Competent Authority may...hold an inquiry"</w:t>
      </w:r>
    </w:p>
    <w:p>
      <w:pPr>
        <w:pStyle w:val="BodyText"/>
        <w:numPr>
          <w:ilvl w:val="0"/>
          <w:numId w:val="28"/>
        </w:numPr>
        <w:rPr/>
      </w:pPr>
      <w:r>
        <w:rPr/>
        <w:t>KAOMA#61(1): (CA inaction) — Add penalty for failure to perform duties</w:t>
      </w:r>
    </w:p>
    <w:p>
      <w:pPr>
        <w:pStyle w:val="Heading3"/>
        <w:numPr>
          <w:ilvl w:val="0"/>
          <w:numId w:val="0"/>
        </w:numPr>
        <w:ind w:hanging="0" w:start="0"/>
        <w:rPr/>
      </w:pPr>
      <w:bookmarkStart w:id="71" w:name="__RefHeading___Toc56164_880593128"/>
      <w:bookmarkEnd w:id="71"/>
      <w:r>
        <w:rPr/>
        <w:t>3. Causal Chain</w:t>
      </w:r>
    </w:p>
    <w:p>
      <w:pPr>
        <w:pStyle w:val="BodyText"/>
        <w:rPr/>
      </w:pPr>
      <w:r>
        <w:rPr>
          <w:rStyle w:val="Strong"/>
        </w:rPr>
        <w:t>Premise 1:</w:t>
      </w:r>
      <w:r>
        <w:rPr/>
        <w:t xml:space="preserve"> Multiple sections use "may" where "shall" is required.</w:t>
      </w:r>
    </w:p>
    <w:p>
      <w:pPr>
        <w:pStyle w:val="BodyText"/>
        <w:rPr/>
      </w:pPr>
      <w:r>
        <w:rPr>
          <w:rStyle w:val="Strong"/>
        </w:rPr>
        <w:t>Premise 2:</w:t>
      </w:r>
      <w:r>
        <w:rPr/>
        <w:t xml:space="preserve"> "May" means the action is optional (discretionary).</w:t>
      </w:r>
    </w:p>
    <w:p>
      <w:pPr>
        <w:pStyle w:val="BodyText"/>
        <w:rPr/>
      </w:pPr>
      <w:r>
        <w:rPr>
          <w:rStyle w:val="Strong"/>
        </w:rPr>
        <w:t>Premise 3:</w:t>
      </w:r>
      <w:r>
        <w:rPr/>
        <w:t xml:space="preserve"> "Shall" means the action is mandatory (enforceable duty).</w:t>
      </w:r>
    </w:p>
    <w:p>
      <w:pPr>
        <w:pStyle w:val="BodyText"/>
        <w:rPr/>
      </w:pPr>
      <w:r>
        <w:rPr>
          <w:rStyle w:val="Strong"/>
        </w:rPr>
        <w:t>∴</w:t>
      </w:r>
      <w:r>
        <w:rPr/>
        <w:t xml:space="preserve"> </w:t>
      </w:r>
      <w:r>
        <w:rPr/>
        <w:t>"May" allows bureaucratic inaction. "Shall" creates enforceable duties.</w:t>
      </w:r>
    </w:p>
    <w:p>
      <w:pPr>
        <w:pStyle w:val="HorizontalLine"/>
        <w:rPr/>
      </w:pPr>
      <w:r>
        <w:rPr/>
      </w:r>
    </w:p>
    <w:p>
      <w:pPr>
        <w:pStyle w:val="BodyText"/>
        <w:rPr/>
      </w:pPr>
      <w:r>
        <w:rPr/>
        <w:t>1.1: #15(3): "may require" → CA can ignore violations.</w:t>
        <w:br/>
        <w:t>→ If CA identifies violation, no duty to act. Enforcement optional.</w:t>
      </w:r>
    </w:p>
    <w:p>
      <w:pPr>
        <w:pStyle w:val="BodyText"/>
        <w:rPr/>
      </w:pPr>
      <w:r>
        <w:rPr/>
        <w:t>1.2: #20(11): "may pass orders" → CA can ignore applications.</w:t>
        <w:br/>
        <w:t>→ Applicant has no remedy. CA can simply ignore.</w:t>
      </w:r>
    </w:p>
    <w:p>
      <w:pPr>
        <w:pStyle w:val="BodyText"/>
        <w:rPr/>
      </w:pPr>
      <w:r>
        <w:rPr/>
        <w:t>1.3: #24(5): "may undertake...only with consent" → "May" suggests optional consent.</w:t>
        <w:br/>
        <w:t>→ Association could argue consent not required. Substantive restriction weakened.</w:t>
      </w:r>
    </w:p>
    <w:p>
      <w:pPr>
        <w:pStyle w:val="BodyText"/>
        <w:rPr/>
      </w:pPr>
      <w:r>
        <w:rPr/>
        <w:t>1.4: #54(1): "may impose penalty" → Penalties optional.</w:t>
        <w:br/>
        <w:t>→ If Act prescribes penalties, they must be imposed. "May" renders enforcement optional.</w:t>
      </w:r>
    </w:p>
    <w:p>
      <w:pPr>
        <w:pStyle w:val="BodyText"/>
        <w:rPr/>
      </w:pPr>
      <w:r>
        <w:rPr>
          <w:rStyle w:val="Strong"/>
        </w:rPr>
        <w:t>Final Consequence:</w:t>
      </w:r>
      <w:r>
        <w:rPr/>
        <w:t xml:space="preserve"> Bureaucratic inaction is incentivized. Duties are optional, not enforceable. The Act's enforcement provisions become toothless.</w:t>
      </w:r>
    </w:p>
    <w:p>
      <w:pPr>
        <w:pStyle w:val="Heading3"/>
        <w:numPr>
          <w:ilvl w:val="2"/>
          <w:numId w:val="2"/>
        </w:numPr>
        <w:ind w:hanging="0" w:start="0"/>
        <w:rPr/>
      </w:pPr>
      <w:bookmarkStart w:id="72" w:name="__RefHeading___Toc56166_880593128"/>
      <w:bookmarkEnd w:id="72"/>
      <w:r>
        <w:rPr/>
        <w:t>4. Itemized Consequences</w:t>
      </w:r>
    </w:p>
    <w:p>
      <w:pPr>
        <w:pStyle w:val="BodyText"/>
        <w:numPr>
          <w:ilvl w:val="0"/>
          <w:numId w:val="29"/>
        </w:numPr>
        <w:rPr/>
      </w:pPr>
      <w:r>
        <w:rPr>
          <w:rStyle w:val="Strong"/>
        </w:rPr>
        <w:t>CA can ignore violations:</w:t>
      </w:r>
      <w:r>
        <w:rPr/>
        <w:t xml:space="preserve"> #15(3) "may require" means CA can ignore. No duty to act.</w:t>
      </w:r>
    </w:p>
    <w:p>
      <w:pPr>
        <w:pStyle w:val="BodyText"/>
        <w:numPr>
          <w:ilvl w:val="0"/>
          <w:numId w:val="29"/>
        </w:numPr>
        <w:rPr/>
      </w:pPr>
      <w:r>
        <w:rPr>
          <w:rStyle w:val="Strong"/>
        </w:rPr>
        <w:t>CA can ignore applications:</w:t>
      </w:r>
      <w:r>
        <w:rPr/>
        <w:t xml:space="preserve"> #20(11) "may pass orders" means CA can ignore. No remedy.</w:t>
      </w:r>
    </w:p>
    <w:p>
      <w:pPr>
        <w:pStyle w:val="BodyText"/>
        <w:numPr>
          <w:ilvl w:val="0"/>
          <w:numId w:val="29"/>
        </w:numPr>
        <w:rPr/>
      </w:pPr>
      <w:r>
        <w:rPr>
          <w:rStyle w:val="Strong"/>
        </w:rPr>
        <w:t>Penalties optional:</w:t>
      </w:r>
      <w:r>
        <w:rPr/>
        <w:t xml:space="preserve"> #54(1) "may impose" means CA can choose not to. Violations go unpunished.</w:t>
      </w:r>
    </w:p>
    <w:p>
      <w:pPr>
        <w:pStyle w:val="BodyText"/>
        <w:numPr>
          <w:ilvl w:val="0"/>
          <w:numId w:val="29"/>
        </w:numPr>
        <w:rPr/>
      </w:pPr>
      <w:r>
        <w:rPr>
          <w:rStyle w:val="Strong"/>
        </w:rPr>
        <w:t>Notice optional:</w:t>
      </w:r>
      <w:r>
        <w:rPr/>
        <w:t xml:space="preserve"> #54(2) "may issue notice" means CA can choose not to. Violators not notified.</w:t>
      </w:r>
    </w:p>
    <w:p>
      <w:pPr>
        <w:pStyle w:val="BodyText"/>
        <w:numPr>
          <w:ilvl w:val="0"/>
          <w:numId w:val="29"/>
        </w:numPr>
        <w:rPr/>
      </w:pPr>
      <w:r>
        <w:rPr>
          <w:rStyle w:val="Strong"/>
        </w:rPr>
        <w:t>Inquiry optional:</w:t>
      </w:r>
      <w:r>
        <w:rPr/>
        <w:t xml:space="preserve"> #55(2) "may hold inquiry" means CA can choose not to. Disputes unresolved.</w:t>
      </w:r>
    </w:p>
    <w:p>
      <w:pPr>
        <w:pStyle w:val="BodyText"/>
        <w:numPr>
          <w:ilvl w:val="0"/>
          <w:numId w:val="29"/>
        </w:numPr>
        <w:rPr/>
      </w:pPr>
      <w:r>
        <w:rPr>
          <w:rStyle w:val="Strong"/>
        </w:rPr>
        <w:t>No accountability:</w:t>
      </w:r>
      <w:r>
        <w:rPr/>
        <w:t xml:space="preserve"> No consequence for CA inaction. System can be ignored.</w:t>
      </w:r>
    </w:p>
    <w:p>
      <w:pPr>
        <w:pStyle w:val="Heading3"/>
        <w:numPr>
          <w:ilvl w:val="0"/>
          <w:numId w:val="0"/>
        </w:numPr>
        <w:ind w:hanging="0" w:start="0"/>
        <w:rPr/>
      </w:pPr>
      <w:bookmarkStart w:id="73" w:name="__RefHeading___Toc56168_880593128"/>
      <w:bookmarkEnd w:id="73"/>
      <w:r>
        <w:rPr/>
        <w:t>5. Atomic Changes Required</w:t>
      </w:r>
    </w:p>
    <w:p>
      <w:pPr>
        <w:pStyle w:val="BodyText"/>
        <w:rPr/>
      </w:pPr>
      <w:r>
        <w:rPr>
          <w:rStyle w:val="Strong"/>
        </w:rPr>
        <w:t>Change 1: Amend KAOMA#15(3)</w:t>
      </w:r>
    </w:p>
    <w:p>
      <w:pPr>
        <w:pStyle w:val="BodyText"/>
        <w:rPr/>
      </w:pPr>
      <w:r>
        <w:rPr>
          <w:rStyle w:val="Emphasis"/>
        </w:rPr>
        <w:t>Replace:</w:t>
      </w:r>
      <w:r>
        <w:rPr/>
        <w:t xml:space="preserve"> "may require" with "shall require."</w:t>
      </w:r>
    </w:p>
    <w:p>
      <w:pPr>
        <w:pStyle w:val="BodyText"/>
        <w:rPr/>
      </w:pPr>
      <w:r>
        <w:rPr>
          <w:rStyle w:val="Strong"/>
        </w:rPr>
        <w:t>Change 2: Amend KAOMA#20(11)</w:t>
      </w:r>
    </w:p>
    <w:p>
      <w:pPr>
        <w:pStyle w:val="BodyText"/>
        <w:rPr/>
      </w:pPr>
      <w:r>
        <w:rPr>
          <w:rStyle w:val="Emphasis"/>
        </w:rPr>
        <w:t>Replace:</w:t>
      </w:r>
      <w:r>
        <w:rPr/>
        <w:t xml:space="preserve"> "may pass orders" with "shall pass orders."</w:t>
      </w:r>
    </w:p>
    <w:p>
      <w:pPr>
        <w:pStyle w:val="BodyText"/>
        <w:rPr/>
      </w:pPr>
      <w:r>
        <w:rPr>
          <w:rStyle w:val="Strong"/>
        </w:rPr>
        <w:t>Change 3: Amend KAOMA#24(5)</w:t>
      </w:r>
    </w:p>
    <w:p>
      <w:pPr>
        <w:pStyle w:val="BodyText"/>
        <w:rPr/>
      </w:pPr>
      <w:r>
        <w:rPr>
          <w:rStyle w:val="Emphasis"/>
        </w:rPr>
        <w:t>Replace:</w:t>
      </w:r>
      <w:r>
        <w:rPr/>
        <w:t xml:space="preserve"> "may undertake...only with consent" with "shall not undertake...except with the consent."</w:t>
      </w:r>
    </w:p>
    <w:p>
      <w:pPr>
        <w:pStyle w:val="BodyText"/>
        <w:rPr/>
      </w:pPr>
      <w:r>
        <w:rPr>
          <w:rStyle w:val="Strong"/>
        </w:rPr>
        <w:t>Change 4: Amend KAOMA#25(3) proviso</w:t>
      </w:r>
    </w:p>
    <w:p>
      <w:pPr>
        <w:pStyle w:val="BodyText"/>
        <w:rPr/>
      </w:pPr>
      <w:r>
        <w:rPr>
          <w:rStyle w:val="Emphasis"/>
        </w:rPr>
        <w:t>Replace:</w:t>
      </w:r>
      <w:r>
        <w:rPr/>
        <w:t xml:space="preserve"> "may do so only with" with "shall not...except with."</w:t>
      </w:r>
    </w:p>
    <w:p>
      <w:pPr>
        <w:pStyle w:val="BodyText"/>
        <w:rPr/>
      </w:pPr>
      <w:r>
        <w:rPr>
          <w:rStyle w:val="Strong"/>
        </w:rPr>
        <w:t>Change 5: Amend KAOMA#31(8)</w:t>
      </w:r>
    </w:p>
    <w:p>
      <w:pPr>
        <w:pStyle w:val="BodyText"/>
        <w:rPr/>
      </w:pPr>
      <w:r>
        <w:rPr>
          <w:rStyle w:val="Emphasis"/>
        </w:rPr>
        <w:t>Replace:</w:t>
      </w:r>
      <w:r>
        <w:rPr/>
        <w:t xml:space="preserve"> "may undertake" with "shall undertake."</w:t>
      </w:r>
    </w:p>
    <w:p>
      <w:pPr>
        <w:pStyle w:val="BodyText"/>
        <w:rPr/>
      </w:pPr>
      <w:r>
        <w:rPr>
          <w:rStyle w:val="Strong"/>
        </w:rPr>
        <w:t>Change 6: Amend KAOMA#40(b)</w:t>
      </w:r>
    </w:p>
    <w:p>
      <w:pPr>
        <w:pStyle w:val="BodyText"/>
        <w:rPr/>
      </w:pPr>
      <w:r>
        <w:rPr>
          <w:rStyle w:val="Emphasis"/>
        </w:rPr>
        <w:t>Replace:</w:t>
      </w:r>
      <w:r>
        <w:rPr/>
        <w:t xml:space="preserve"> "may appoint" with "shall appoint" and add time limit.</w:t>
      </w:r>
    </w:p>
    <w:p>
      <w:pPr>
        <w:pStyle w:val="BodyText"/>
        <w:rPr/>
      </w:pPr>
      <w:r>
        <w:rPr>
          <w:rStyle w:val="Strong"/>
        </w:rPr>
        <w:t>Change 7: Amend KAOMA#50(5)</w:t>
      </w:r>
    </w:p>
    <w:p>
      <w:pPr>
        <w:pStyle w:val="BodyText"/>
        <w:rPr/>
      </w:pPr>
      <w:r>
        <w:rPr>
          <w:rStyle w:val="Emphasis"/>
        </w:rPr>
        <w:t>Replace:</w:t>
      </w:r>
      <w:r>
        <w:rPr/>
        <w:t xml:space="preserve"> "may refer" with "shall refer" where Tribunal is constituted.</w:t>
      </w:r>
    </w:p>
    <w:p>
      <w:pPr>
        <w:pStyle w:val="BodyText"/>
        <w:rPr/>
      </w:pPr>
      <w:r>
        <w:rPr>
          <w:rStyle w:val="Strong"/>
        </w:rPr>
        <w:t>Change 8: Amend KAOMA#54(1)</w:t>
      </w:r>
    </w:p>
    <w:p>
      <w:pPr>
        <w:pStyle w:val="BodyText"/>
        <w:rPr/>
      </w:pPr>
      <w:r>
        <w:rPr>
          <w:rStyle w:val="Emphasis"/>
        </w:rPr>
        <w:t>Replace:</w:t>
      </w:r>
      <w:r>
        <w:rPr/>
        <w:t xml:space="preserve"> "may impose" with "shall impose."</w:t>
      </w:r>
    </w:p>
    <w:p>
      <w:pPr>
        <w:pStyle w:val="BodyText"/>
        <w:rPr/>
      </w:pPr>
      <w:r>
        <w:rPr>
          <w:rStyle w:val="Strong"/>
        </w:rPr>
        <w:t>Change 9: Amend KAOMA#54(2)</w:t>
      </w:r>
    </w:p>
    <w:p>
      <w:pPr>
        <w:pStyle w:val="BodyText"/>
        <w:rPr/>
      </w:pPr>
      <w:r>
        <w:rPr>
          <w:rStyle w:val="Emphasis"/>
        </w:rPr>
        <w:t>Replace:</w:t>
      </w:r>
      <w:r>
        <w:rPr/>
        <w:t xml:space="preserve"> "may issue notice" with "shall issue notice."</w:t>
      </w:r>
    </w:p>
    <w:p>
      <w:pPr>
        <w:pStyle w:val="BodyText"/>
        <w:rPr/>
      </w:pPr>
      <w:r>
        <w:rPr>
          <w:rStyle w:val="Strong"/>
        </w:rPr>
        <w:t>Change 10: Amend KAOMA#55(2)</w:t>
      </w:r>
    </w:p>
    <w:p>
      <w:pPr>
        <w:pStyle w:val="BodyText"/>
        <w:rPr/>
      </w:pPr>
      <w:r>
        <w:rPr>
          <w:rStyle w:val="Emphasis"/>
        </w:rPr>
        <w:t>Replace:</w:t>
      </w:r>
      <w:r>
        <w:rPr/>
        <w:t xml:space="preserve"> "may hold inquiry" with "shall hold inquiry."</w:t>
      </w:r>
    </w:p>
    <w:p>
      <w:pPr>
        <w:pStyle w:val="Heading3"/>
        <w:numPr>
          <w:ilvl w:val="2"/>
          <w:numId w:val="2"/>
        </w:numPr>
        <w:ind w:hanging="0" w:start="0"/>
        <w:rPr/>
      </w:pPr>
      <w:bookmarkStart w:id="74" w:name="__RefHeading___Toc56170_880593128"/>
      <w:bookmarkEnd w:id="74"/>
      <w:r>
        <w:rPr/>
        <w:t>6. Justification</w:t>
      </w:r>
    </w:p>
    <w:p>
      <w:pPr>
        <w:pStyle w:val="BodyText"/>
        <w:rPr/>
      </w:pPr>
      <w:r>
        <w:rPr/>
        <w:t>Where the Act prescribes duties, rights, or obligations, the use of the word "may" renders its enforcement optional and allows bureaucratic inaction. The use of "shall" creates a mandatory enforceable duty.</w:t>
      </w:r>
    </w:p>
    <w:p>
      <w:pPr>
        <w:pStyle w:val="BodyText"/>
        <w:rPr/>
      </w:pPr>
      <w:r>
        <w:rPr/>
        <w:t xml:space="preserve">The amendments convert discretionary powers into mandatory duties. CA must act. Penalties must be imposed. Notice must be issued. Inquiries must be held. Accountability is created, </w:t>
      </w:r>
      <w:r>
        <w:rPr/>
        <w:t>and failure to comply with the duty attracts punishment under BNS 198</w:t>
      </w:r>
      <w:r>
        <w:rPr/>
        <w:t>.</w:t>
      </w:r>
    </w:p>
    <w:p>
      <w:pPr>
        <w:pStyle w:val="HorizontalLine"/>
        <w:rPr/>
      </w:pPr>
      <w:r>
        <w:rPr/>
      </w:r>
    </w:p>
    <w:p>
      <w:pPr>
        <w:pStyle w:val="Heading2"/>
        <w:rPr/>
      </w:pPr>
      <w:bookmarkStart w:id="75" w:name="__RefHeading___Toc56172_880593128"/>
      <w:bookmarkEnd w:id="75"/>
      <w:r>
        <w:rPr/>
        <w:t>Appendix 11: Prior approval of bye-laws</w:t>
      </w:r>
    </w:p>
    <w:p>
      <w:pPr>
        <w:pStyle w:val="Heading3"/>
        <w:numPr>
          <w:ilvl w:val="0"/>
          <w:numId w:val="2"/>
        </w:numPr>
        <w:ind w:hanging="0" w:start="0"/>
        <w:rPr/>
      </w:pPr>
      <w:bookmarkStart w:id="76" w:name="__RefHeading___Toc56174_880593128"/>
      <w:bookmarkEnd w:id="76"/>
      <w:r>
        <w:rPr/>
        <w:t>1. Problem Statement</w:t>
      </w:r>
    </w:p>
    <w:p>
      <w:pPr>
        <w:pStyle w:val="BodyText"/>
        <w:rPr/>
      </w:pPr>
      <w:r>
        <w:rPr/>
        <w:t>Section 15 allows bye-laws to be registered first, then CA may declare them void later (Section 15(3)). This is backward sequencing. Improper sequencing creates legal uncertainty and operational chaos. The proper approach is CA approval before registration.</w:t>
      </w:r>
    </w:p>
    <w:p>
      <w:pPr>
        <w:pStyle w:val="Heading3"/>
        <w:numPr>
          <w:ilvl w:val="2"/>
          <w:numId w:val="2"/>
        </w:numPr>
        <w:ind w:hanging="0" w:start="0"/>
        <w:rPr/>
      </w:pPr>
      <w:bookmarkStart w:id="77" w:name="__RefHeading___Toc56176_880593128"/>
      <w:bookmarkEnd w:id="77"/>
      <w:r>
        <w:rPr/>
        <w:t>2. Sections Involved</w:t>
      </w:r>
    </w:p>
    <w:p>
      <w:pPr>
        <w:pStyle w:val="BodyText"/>
        <w:numPr>
          <w:ilvl w:val="0"/>
          <w:numId w:val="30"/>
        </w:numPr>
        <w:rPr/>
      </w:pPr>
      <w:r>
        <w:rPr/>
        <w:t>KAOMA#34: Bye-laws submitted to CA for approval "prior to execution and registration of conveyance deed" — but this is 2-5 years after booking</w:t>
      </w:r>
    </w:p>
    <w:p>
      <w:pPr>
        <w:pStyle w:val="BodyText"/>
        <w:numPr>
          <w:ilvl w:val="0"/>
          <w:numId w:val="30"/>
        </w:numPr>
        <w:rPr/>
      </w:pPr>
      <w:r>
        <w:rPr/>
        <w:t>KAOMA#15(3): "Where the competent authority finds that any provision of the bye-laws is inconsistent with the provisions of this Act...it may require the association to modify such provision"</w:t>
      </w:r>
    </w:p>
    <w:p>
      <w:pPr>
        <w:pStyle w:val="BodyText"/>
        <w:numPr>
          <w:ilvl w:val="0"/>
          <w:numId w:val="30"/>
        </w:numPr>
        <w:rPr/>
      </w:pPr>
      <w:r>
        <w:rPr/>
        <w:t>KAOMA#15(5): "Any provision of the bye-laws which is inconsistent with...this Act...shall be void to the extent of such inconsistency"</w:t>
      </w:r>
    </w:p>
    <w:p>
      <w:pPr>
        <w:pStyle w:val="Heading3"/>
        <w:numPr>
          <w:ilvl w:val="0"/>
          <w:numId w:val="0"/>
        </w:numPr>
        <w:ind w:hanging="0" w:start="0"/>
        <w:rPr/>
      </w:pPr>
      <w:bookmarkStart w:id="78" w:name="__RefHeading___Toc56178_880593128"/>
      <w:bookmarkEnd w:id="78"/>
      <w:r>
        <w:rPr/>
        <w:t>3. Causal Chain</w:t>
      </w:r>
    </w:p>
    <w:p>
      <w:pPr>
        <w:pStyle w:val="BodyText"/>
        <w:rPr/>
      </w:pPr>
      <w:r>
        <w:rPr>
          <w:rStyle w:val="Strong"/>
        </w:rPr>
        <w:t>Premise 1:</w:t>
      </w:r>
      <w:r>
        <w:rPr/>
        <w:t xml:space="preserve"> #15(3) allows CA to declare bye-laws void after registration.</w:t>
      </w:r>
    </w:p>
    <w:p>
      <w:pPr>
        <w:pStyle w:val="BodyText"/>
        <w:rPr/>
      </w:pPr>
      <w:r>
        <w:rPr>
          <w:rStyle w:val="Strong"/>
        </w:rPr>
        <w:t>Premise 2:</w:t>
      </w:r>
      <w:r>
        <w:rPr/>
        <w:t xml:space="preserve"> #15(5) says inconsistent bye-laws are void.</w:t>
      </w:r>
    </w:p>
    <w:p>
      <w:pPr>
        <w:pStyle w:val="BodyText"/>
        <w:rPr/>
      </w:pPr>
      <w:r>
        <w:rPr>
          <w:rStyle w:val="Strong"/>
        </w:rPr>
        <w:t>Premise 3:</w:t>
      </w:r>
      <w:r>
        <w:rPr/>
        <w:t xml:space="preserve"> #15(3) says CA "may" require modification (implying bye-law is valid until CA acts).</w:t>
      </w:r>
    </w:p>
    <w:p>
      <w:pPr>
        <w:pStyle w:val="BodyText"/>
        <w:rPr/>
      </w:pPr>
      <w:r>
        <w:rPr>
          <w:rStyle w:val="Strong"/>
        </w:rPr>
        <w:t>∴</w:t>
      </w:r>
      <w:r>
        <w:rPr/>
        <w:t xml:space="preserve"> </w:t>
      </w:r>
      <w:r>
        <w:rPr/>
        <w:t>#15(3) and #15(5) are inconsistent. ⇔ Legal chaos.</w:t>
      </w:r>
    </w:p>
    <w:p>
      <w:pPr>
        <w:pStyle w:val="HorizontalLine"/>
        <w:rPr/>
      </w:pPr>
      <w:r>
        <w:rPr/>
      </w:r>
    </w:p>
    <w:p>
      <w:pPr>
        <w:pStyle w:val="BodyText"/>
        <w:rPr/>
      </w:pPr>
      <w:r>
        <w:rPr/>
        <w:t>1.1: Bye-laws registered first (#34).</w:t>
        <w:br/>
        <w:t>→ Applied to owners before CA scrutiny.</w:t>
      </w:r>
    </w:p>
    <w:p>
      <w:pPr>
        <w:pStyle w:val="BodyText"/>
        <w:rPr/>
      </w:pPr>
      <w:r>
        <w:rPr/>
        <w:t>1.2: CA later finds inconsistency (#15(3)).</w:t>
        <w:br/>
        <w:t>→ Bye-laws operated for months/years while invalid.</w:t>
      </w:r>
    </w:p>
    <w:p>
      <w:pPr>
        <w:pStyle w:val="BodyText"/>
        <w:rPr/>
      </w:pPr>
      <w:r>
        <w:rPr/>
        <w:t>1.3: #15(5) says bye-laws are void.</w:t>
        <w:br/>
        <w:t>→ #15(3) says CA may require modification (implying valid until modified).</w:t>
      </w:r>
    </w:p>
    <w:p>
      <w:pPr>
        <w:pStyle w:val="BodyText"/>
        <w:rPr/>
      </w:pPr>
      <w:r>
        <w:rPr/>
        <w:t>1.4: Inconsistency between #15(3) and #15(5).</w:t>
        <w:br/>
        <w:t>→ Legal uncertainty. Which prevails? Void ab initio or voidable?</w:t>
      </w:r>
    </w:p>
    <w:p>
      <w:pPr>
        <w:pStyle w:val="BodyText"/>
        <w:rPr/>
      </w:pPr>
      <w:r>
        <w:rPr/>
        <w:t>1.5: Improper sequencing creates legal chaos.</w:t>
        <w:br/>
        <w:t>→ Owners operated under invalid bye-laws. Actions taken under invalid bye-laws may be challenged.</w:t>
      </w:r>
    </w:p>
    <w:p>
      <w:pPr>
        <w:pStyle w:val="BodyText"/>
        <w:rPr/>
      </w:pPr>
      <w:r>
        <w:rPr>
          <w:rStyle w:val="Strong"/>
        </w:rPr>
        <w:t>Final Consequence:</w:t>
      </w:r>
      <w:r>
        <w:rPr/>
        <w:t xml:space="preserve"> Bye-laws registered and applied first, CA retains power to declare void later. Legal uncertainty. Operational chaos. Actions taken under invalid bye-laws may be challenged. Proper approach is CA approval before registration.</w:t>
      </w:r>
    </w:p>
    <w:p>
      <w:pPr>
        <w:pStyle w:val="Heading3"/>
        <w:numPr>
          <w:ilvl w:val="2"/>
          <w:numId w:val="2"/>
        </w:numPr>
        <w:ind w:hanging="0" w:start="0"/>
        <w:rPr/>
      </w:pPr>
      <w:bookmarkStart w:id="79" w:name="__RefHeading___Toc56180_880593128"/>
      <w:bookmarkEnd w:id="79"/>
      <w:r>
        <w:rPr/>
        <w:t>4. Itemized Consequences</w:t>
      </w:r>
    </w:p>
    <w:p>
      <w:pPr>
        <w:pStyle w:val="BodyText"/>
        <w:numPr>
          <w:ilvl w:val="0"/>
          <w:numId w:val="31"/>
        </w:numPr>
        <w:rPr/>
      </w:pPr>
      <w:r>
        <w:rPr>
          <w:rStyle w:val="Strong"/>
        </w:rPr>
        <w:t>Backward sequencing:</w:t>
      </w:r>
      <w:r>
        <w:rPr/>
        <w:t xml:space="preserve"> Bye-laws registered first, voided later. Creates uncertainty.</w:t>
      </w:r>
    </w:p>
    <w:p>
      <w:pPr>
        <w:pStyle w:val="BodyText"/>
        <w:numPr>
          <w:ilvl w:val="0"/>
          <w:numId w:val="31"/>
        </w:numPr>
        <w:rPr/>
      </w:pPr>
      <w:r>
        <w:rPr>
          <w:rStyle w:val="Strong"/>
        </w:rPr>
        <w:t>Legal chaos:</w:t>
      </w:r>
      <w:r>
        <w:rPr/>
        <w:t xml:space="preserve"> #15(3) and #15(5) inconsistent. Void ab initio vs. voidable.</w:t>
      </w:r>
    </w:p>
    <w:p>
      <w:pPr>
        <w:pStyle w:val="BodyText"/>
        <w:numPr>
          <w:ilvl w:val="0"/>
          <w:numId w:val="31"/>
        </w:numPr>
        <w:rPr/>
      </w:pPr>
      <w:r>
        <w:rPr>
          <w:rStyle w:val="Strong"/>
        </w:rPr>
        <w:t>Owners operate under invalid bye-laws:</w:t>
      </w:r>
      <w:r>
        <w:rPr/>
        <w:t xml:space="preserve"> Actions taken under invalid bye-laws may be challenged.</w:t>
      </w:r>
    </w:p>
    <w:p>
      <w:pPr>
        <w:pStyle w:val="BodyText"/>
        <w:numPr>
          <w:ilvl w:val="0"/>
          <w:numId w:val="31"/>
        </w:numPr>
        <w:rPr/>
      </w:pPr>
      <w:r>
        <w:rPr>
          <w:rStyle w:val="Strong"/>
        </w:rPr>
        <w:t>No pre-approval mechanism:</w:t>
      </w:r>
      <w:r>
        <w:rPr/>
        <w:t xml:space="preserve"> CA should review before application, not after.</w:t>
      </w:r>
    </w:p>
    <w:p>
      <w:pPr>
        <w:pStyle w:val="BodyText"/>
        <w:numPr>
          <w:ilvl w:val="0"/>
          <w:numId w:val="31"/>
        </w:numPr>
        <w:rPr/>
      </w:pPr>
      <w:r>
        <w:rPr>
          <w:rStyle w:val="Strong"/>
        </w:rPr>
        <w:t>Timeline too late:</w:t>
      </w:r>
      <w:r>
        <w:rPr/>
        <w:t xml:space="preserve"> #34 links to conveyance (2-5 years after booking). Bye-laws should be reviewed before booking commences.</w:t>
      </w:r>
    </w:p>
    <w:p>
      <w:pPr>
        <w:pStyle w:val="Heading3"/>
        <w:numPr>
          <w:ilvl w:val="0"/>
          <w:numId w:val="0"/>
        </w:numPr>
        <w:ind w:hanging="0" w:start="0"/>
        <w:rPr/>
      </w:pPr>
      <w:bookmarkStart w:id="80" w:name="__RefHeading___Toc56182_880593128"/>
      <w:bookmarkEnd w:id="80"/>
      <w:r>
        <w:rPr/>
        <w:t>5. Atomic Changes Required</w:t>
      </w:r>
    </w:p>
    <w:p>
      <w:pPr>
        <w:pStyle w:val="BodyText"/>
        <w:rPr/>
      </w:pPr>
      <w:r>
        <w:rPr>
          <w:rStyle w:val="Strong"/>
        </w:rPr>
        <w:t>Change 1: Amend KAOMA#34 (Submission Trigger)</w:t>
      </w:r>
    </w:p>
    <w:p>
      <w:pPr>
        <w:pStyle w:val="BodyText"/>
        <w:rPr/>
      </w:pPr>
      <w:r>
        <w:rPr>
          <w:rStyle w:val="Emphasis"/>
        </w:rPr>
        <w:t>Replace:</w:t>
      </w:r>
      <w:r>
        <w:rPr/>
        <w:t xml:space="preserve"> "The bye-laws of an association or federation shall be submitted to the competent authority... prior to the execution and registration of the conveyance deed."</w:t>
      </w:r>
    </w:p>
    <w:p>
      <w:pPr>
        <w:pStyle w:val="BodyText"/>
        <w:rPr/>
      </w:pPr>
      <w:r>
        <w:rPr>
          <w:rStyle w:val="Emphasis"/>
        </w:rPr>
        <w:t>With:</w:t>
      </w:r>
      <w:r>
        <w:rPr/>
        <w:t xml:space="preserve"> "The bye-laws of an association or federation shall be submitted to the competent authority... within 30 days from the date of formation of the association under section 21 (i.e., majority allotment)."</w:t>
      </w:r>
    </w:p>
    <w:p>
      <w:pPr>
        <w:pStyle w:val="BodyText"/>
        <w:rPr/>
      </w:pPr>
      <w:r>
        <w:rPr>
          <w:rStyle w:val="Strong"/>
        </w:rPr>
        <w:t>Change 2: Amend KAOMA#34 (Approval Before Registration)</w:t>
      </w:r>
    </w:p>
    <w:p>
      <w:pPr>
        <w:pStyle w:val="BodyText"/>
        <w:rPr/>
      </w:pPr>
      <w:r>
        <w:rPr>
          <w:rStyle w:val="Emphasis"/>
        </w:rPr>
        <w:t>Add:</w:t>
      </w:r>
      <w:r>
        <w:rPr/>
        <w:t xml:space="preserve"> "No bye-laws shall be filed with the Sub-Registrar or applied to any apartment owner unless they have been approved by the Competent Authority."</w:t>
      </w:r>
    </w:p>
    <w:p>
      <w:pPr>
        <w:pStyle w:val="BodyText"/>
        <w:rPr/>
      </w:pPr>
      <w:r>
        <w:rPr>
          <w:rStyle w:val="Strong"/>
        </w:rPr>
        <w:t>Change 3: Amend KAOMA#34 (CA Decision Timeline)</w:t>
      </w:r>
    </w:p>
    <w:p>
      <w:pPr>
        <w:pStyle w:val="BodyText"/>
        <w:rPr/>
      </w:pPr>
      <w:r>
        <w:rPr>
          <w:rStyle w:val="Emphasis"/>
        </w:rPr>
        <w:t>Add:</w:t>
      </w:r>
      <w:r>
        <w:rPr/>
        <w:t xml:space="preserve"> "The Competent Authority shall approve or reject the bye-laws within 45 days from the date of receipt. If rejected, written reasons shall be provided."</w:t>
      </w:r>
    </w:p>
    <w:p>
      <w:pPr>
        <w:pStyle w:val="BodyText"/>
        <w:rPr/>
      </w:pPr>
      <w:r>
        <w:rPr>
          <w:rStyle w:val="Strong"/>
        </w:rPr>
        <w:t>Change 4: Amend KAOMA#34 (Remove Deemed Approval)</w:t>
      </w:r>
    </w:p>
    <w:p>
      <w:pPr>
        <w:pStyle w:val="BodyText"/>
        <w:rPr/>
      </w:pPr>
      <w:r>
        <w:rPr>
          <w:rStyle w:val="Emphasis"/>
        </w:rPr>
        <w:t>Delete:</w:t>
      </w:r>
      <w:r>
        <w:rPr/>
        <w:t xml:space="preserve"> "Provided that where no decision is communicated within the said period of thirty days, the bye-laws shall be deemed to have been approved."</w:t>
      </w:r>
    </w:p>
    <w:p>
      <w:pPr>
        <w:pStyle w:val="BodyText"/>
        <w:rPr/>
      </w:pPr>
      <w:r>
        <w:rPr>
          <w:rStyle w:val="Emphasis"/>
        </w:rPr>
        <w:t>Replace:</w:t>
      </w:r>
      <w:r>
        <w:rPr/>
        <w:t xml:space="preserve"> "If the Competent Authority fails to communicate its decision within 45 days, the applicant may approach the First Appellate Authority for a direction to the Competent Authority to decide."</w:t>
      </w:r>
    </w:p>
    <w:p>
      <w:pPr>
        <w:pStyle w:val="BodyText"/>
        <w:rPr/>
      </w:pPr>
      <w:r>
        <w:rPr>
          <w:rStyle w:val="Strong"/>
        </w:rPr>
        <w:t>Change 5: Amend KAOMA#15(3)</w:t>
      </w:r>
    </w:p>
    <w:p>
      <w:pPr>
        <w:pStyle w:val="BodyText"/>
        <w:rPr/>
      </w:pPr>
      <w:r>
        <w:rPr>
          <w:rStyle w:val="Emphasis"/>
        </w:rPr>
        <w:t>Add:</w:t>
      </w:r>
      <w:r>
        <w:rPr/>
        <w:t xml:space="preserve"> "Any provision of the bye-laws which is inconsistent with this Act shall be void ab initio, and the Competent Authority shall require removal of such provisions."</w:t>
      </w:r>
    </w:p>
    <w:p>
      <w:pPr>
        <w:pStyle w:val="Heading3"/>
        <w:numPr>
          <w:ilvl w:val="2"/>
          <w:numId w:val="2"/>
        </w:numPr>
        <w:ind w:hanging="0" w:start="0"/>
        <w:rPr/>
      </w:pPr>
      <w:bookmarkStart w:id="81" w:name="__RefHeading___Toc56184_880593128"/>
      <w:bookmarkEnd w:id="81"/>
      <w:r>
        <w:rPr/>
        <w:t>6. Justification</w:t>
      </w:r>
    </w:p>
    <w:p>
      <w:pPr>
        <w:pStyle w:val="BodyText"/>
        <w:rPr/>
      </w:pPr>
      <w:r>
        <w:rPr/>
        <w:t>The logical sequence must follow the lifecycle of bye-laws: drafting → content specification → guidance → approval → binding effect → enforcement → amendment → evolution.</w:t>
      </w:r>
    </w:p>
    <w:p>
      <w:pPr>
        <w:pStyle w:val="BodyText"/>
        <w:rPr/>
      </w:pPr>
      <w:r>
        <w:rPr/>
        <w:t>The existing sequence is jumbled. The corrected sequence ensures a coherent flow that is easier for associations to follow and for the Competent Authority to administer.</w:t>
      </w:r>
    </w:p>
    <w:p>
      <w:pPr>
        <w:pStyle w:val="HorizontalLine"/>
        <w:rPr/>
      </w:pPr>
      <w:r>
        <w:rPr/>
      </w:r>
    </w:p>
    <w:p>
      <w:pPr>
        <w:pStyle w:val="Heading2"/>
        <w:rPr/>
      </w:pPr>
      <w:bookmarkStart w:id="82" w:name="__RefHeading___Toc56186_880593128"/>
      <w:bookmarkEnd w:id="82"/>
      <w:r>
        <w:rPr/>
        <w:t>Appendix 12: Declaration before first booking</w:t>
      </w:r>
    </w:p>
    <w:p>
      <w:pPr>
        <w:pStyle w:val="Heading3"/>
        <w:numPr>
          <w:ilvl w:val="0"/>
          <w:numId w:val="2"/>
        </w:numPr>
        <w:ind w:hanging="0" w:start="0"/>
        <w:rPr/>
      </w:pPr>
      <w:bookmarkStart w:id="83" w:name="__RefHeading___Toc56188_880593128"/>
      <w:bookmarkEnd w:id="83"/>
      <w:r>
        <w:rPr/>
        <w:t>1. Problem Statement</w:t>
      </w:r>
    </w:p>
    <w:p>
      <w:pPr>
        <w:pStyle w:val="BodyText"/>
        <w:rPr/>
      </w:pPr>
      <w:r>
        <w:rPr/>
        <w:t>KAOMA#13(1) requires the Declaration within 60 days from the date of issuance of the Occupancy Certificate. By then, bookings, construction, and possession have all happened. The DoD defines the "property" and contains the table of all apartments and their LCAs. Its purpose is to "freeze" configuration before any bookings happen. By allowing it to be filed after the project is complete, KAOMA enables two of the most common frauds.</w:t>
      </w:r>
    </w:p>
    <w:p>
      <w:pPr>
        <w:pStyle w:val="BodyText"/>
        <w:rPr/>
      </w:pPr>
      <w:r>
        <w:rPr>
          <w:rStyle w:val="Strong"/>
        </w:rPr>
        <w:t>(This is a subset of Theme 3. See Appendix 3 for the full logical derivation.)</w:t>
      </w:r>
    </w:p>
    <w:p>
      <w:pPr>
        <w:pStyle w:val="Heading3"/>
        <w:numPr>
          <w:ilvl w:val="2"/>
          <w:numId w:val="2"/>
        </w:numPr>
        <w:ind w:hanging="0" w:start="0"/>
        <w:rPr/>
      </w:pPr>
      <w:bookmarkStart w:id="84" w:name="__RefHeading___Toc56190_880593128"/>
      <w:bookmarkEnd w:id="84"/>
      <w:r>
        <w:rPr/>
        <w:t>2. Sections Involved</w:t>
      </w:r>
    </w:p>
    <w:p>
      <w:pPr>
        <w:pStyle w:val="BodyText"/>
        <w:numPr>
          <w:ilvl w:val="0"/>
          <w:numId w:val="32"/>
        </w:numPr>
        <w:rPr/>
      </w:pPr>
      <w:r>
        <w:rPr/>
        <w:t>KAOMA#13(1): Declaration required within 60 days from OC</w:t>
      </w:r>
    </w:p>
    <w:p>
      <w:pPr>
        <w:pStyle w:val="BodyText"/>
        <w:numPr>
          <w:ilvl w:val="0"/>
          <w:numId w:val="32"/>
        </w:numPr>
        <w:rPr/>
      </w:pPr>
      <w:r>
        <w:rPr/>
        <w:t>KAOMA#13(4): Return for resubmission</w:t>
      </w:r>
    </w:p>
    <w:p>
      <w:pPr>
        <w:pStyle w:val="BodyText"/>
        <w:numPr>
          <w:ilvl w:val="0"/>
          <w:numId w:val="32"/>
        </w:numPr>
        <w:rPr/>
      </w:pPr>
      <w:r>
        <w:rPr/>
        <w:t>KAOMA#14(1)(b): Sanctioned plan in declaration</w:t>
      </w:r>
    </w:p>
    <w:p>
      <w:pPr>
        <w:pStyle w:val="BodyText"/>
        <w:numPr>
          <w:ilvl w:val="0"/>
          <w:numId w:val="32"/>
        </w:numPr>
        <w:rPr/>
      </w:pPr>
      <w:r>
        <w:rPr/>
        <w:t>KAOMA#16(4)(a): Further development after transfer</w:t>
      </w:r>
    </w:p>
    <w:p>
      <w:pPr>
        <w:pStyle w:val="Heading3"/>
        <w:numPr>
          <w:ilvl w:val="0"/>
          <w:numId w:val="0"/>
        </w:numPr>
        <w:ind w:hanging="0" w:start="0"/>
        <w:rPr/>
      </w:pPr>
      <w:bookmarkStart w:id="85" w:name="__RefHeading___Toc56192_880593128"/>
      <w:bookmarkEnd w:id="85"/>
      <w:r>
        <w:rPr/>
        <w:t>3. Causal Chain</w:t>
      </w:r>
    </w:p>
    <w:p>
      <w:pPr>
        <w:pStyle w:val="BodyText"/>
        <w:rPr/>
      </w:pPr>
      <w:r>
        <w:rPr>
          <w:rStyle w:val="Strong"/>
        </w:rPr>
        <w:t>(See Appendix 3, Sections 1.1-1.5)</w:t>
      </w:r>
    </w:p>
    <w:p>
      <w:pPr>
        <w:pStyle w:val="Heading3"/>
        <w:numPr>
          <w:ilvl w:val="2"/>
          <w:numId w:val="2"/>
        </w:numPr>
        <w:ind w:hanging="0" w:start="0"/>
        <w:rPr/>
      </w:pPr>
      <w:bookmarkStart w:id="86" w:name="__RefHeading___Toc56194_880593128"/>
      <w:bookmarkEnd w:id="86"/>
      <w:r>
        <w:rPr/>
        <w:t>4. Atomic Changes Required</w:t>
      </w:r>
    </w:p>
    <w:p>
      <w:pPr>
        <w:pStyle w:val="BodyText"/>
        <w:rPr/>
      </w:pPr>
      <w:r>
        <w:rPr>
          <w:rStyle w:val="Strong"/>
        </w:rPr>
        <w:t>Change 1: Amend KAOMA#13(1)</w:t>
      </w:r>
    </w:p>
    <w:p>
      <w:pPr>
        <w:pStyle w:val="BodyText"/>
        <w:rPr/>
      </w:pPr>
      <w:r>
        <w:rPr>
          <w:rStyle w:val="Emphasis"/>
        </w:rPr>
        <w:t>Replace:</w:t>
      </w:r>
      <w:r>
        <w:rPr/>
        <w:t xml:space="preserve"> "The promoter shall submit to the competent authority a declaration in respect of the project prior to the first booking, sale, allotment, or marketing of any apartment in the project."</w:t>
      </w:r>
    </w:p>
    <w:p>
      <w:pPr>
        <w:pStyle w:val="BodyText"/>
        <w:rPr/>
      </w:pPr>
      <w:r>
        <w:rPr>
          <w:rStyle w:val="Strong"/>
        </w:rPr>
        <w:t>Change 2: New Section 13A</w:t>
      </w:r>
    </w:p>
    <w:p>
      <w:pPr>
        <w:pStyle w:val="BodyText"/>
        <w:rPr/>
      </w:pPr>
      <w:r>
        <w:rPr>
          <w:rStyle w:val="Emphasis"/>
        </w:rPr>
        <w:t>Add:</w:t>
      </w:r>
      <w:r>
        <w:rPr/>
        <w:t xml:space="preserve"> "No promoter shall market, advertise, book, sell, or allot any apartment in a project unless the declaration has been submitted to the competent authority and has been recorded by it under section 13."</w:t>
      </w:r>
    </w:p>
    <w:p>
      <w:pPr>
        <w:pStyle w:val="Heading3"/>
        <w:numPr>
          <w:ilvl w:val="2"/>
          <w:numId w:val="2"/>
        </w:numPr>
        <w:ind w:hanging="0" w:start="0"/>
        <w:rPr/>
      </w:pPr>
      <w:bookmarkStart w:id="87" w:name="__RefHeading___Toc56196_880593128"/>
      <w:bookmarkEnd w:id="87"/>
      <w:r>
        <w:rPr/>
        <w:t>5. Justification</w:t>
      </w:r>
    </w:p>
    <w:p>
      <w:pPr>
        <w:pStyle w:val="BodyText"/>
        <w:rPr/>
      </w:pPr>
      <w:r>
        <w:rPr>
          <w:rStyle w:val="Strong"/>
        </w:rPr>
        <w:t>(See Appendix 3, Section 6)</w:t>
      </w:r>
    </w:p>
    <w:p>
      <w:pPr>
        <w:pStyle w:val="HorizontalLine"/>
        <w:rPr/>
      </w:pPr>
      <w:r>
        <w:rPr/>
      </w:r>
    </w:p>
    <w:p>
      <w:pPr>
        <w:pStyle w:val="Heading2"/>
        <w:rPr/>
      </w:pPr>
      <w:bookmarkStart w:id="88" w:name="__RefHeading___Toc56198_880593128"/>
      <w:bookmarkEnd w:id="88"/>
      <w:r>
        <w:rPr/>
        <w:t>Appendix 13: Change of use restriction</w:t>
      </w:r>
    </w:p>
    <w:p>
      <w:pPr>
        <w:pStyle w:val="Heading3"/>
        <w:numPr>
          <w:ilvl w:val="0"/>
          <w:numId w:val="2"/>
        </w:numPr>
        <w:ind w:hanging="0" w:start="0"/>
        <w:rPr/>
      </w:pPr>
      <w:bookmarkStart w:id="89" w:name="__RefHeading___Toc56200_880593128"/>
      <w:bookmarkEnd w:id="89"/>
      <w:r>
        <w:rPr/>
        <w:t>1. Problem Statement</w:t>
      </w:r>
    </w:p>
    <w:p>
      <w:pPr>
        <w:pStyle w:val="BodyText"/>
        <w:rPr/>
      </w:pPr>
      <w:r>
        <w:rPr/>
        <w:t>The Bill removes the residential gatekeeping clause from KAOA Section 2. No change-of-use restriction exists. A flat can be converted to a shop, showroom, godown, or dark kitchen without approval.</w:t>
      </w:r>
    </w:p>
    <w:p>
      <w:pPr>
        <w:pStyle w:val="BodyText"/>
        <w:rPr/>
      </w:pPr>
      <w:r>
        <w:rPr>
          <w:rStyle w:val="Strong"/>
        </w:rPr>
        <w:t>(This is a subset of Theme 9. See Appendix 9 for the full logical derivation.)</w:t>
      </w:r>
    </w:p>
    <w:p>
      <w:pPr>
        <w:pStyle w:val="Heading3"/>
        <w:numPr>
          <w:ilvl w:val="2"/>
          <w:numId w:val="2"/>
        </w:numPr>
        <w:ind w:hanging="0" w:start="0"/>
        <w:rPr/>
      </w:pPr>
      <w:bookmarkStart w:id="90" w:name="__RefHeading___Toc56202_880593128"/>
      <w:bookmarkEnd w:id="90"/>
      <w:r>
        <w:rPr/>
        <w:t>2. Sections Involved</w:t>
      </w:r>
    </w:p>
    <w:p>
      <w:pPr>
        <w:pStyle w:val="BodyText"/>
        <w:numPr>
          <w:ilvl w:val="0"/>
          <w:numId w:val="33"/>
        </w:numPr>
        <w:rPr/>
      </w:pPr>
      <w:r>
        <w:rPr/>
        <w:t>KAOMA#18(b): Use only for "purposes for which they are intended" — but #2(b) already includes commercial</w:t>
      </w:r>
    </w:p>
    <w:p>
      <w:pPr>
        <w:pStyle w:val="BodyText"/>
        <w:numPr>
          <w:ilvl w:val="0"/>
          <w:numId w:val="33"/>
        </w:numPr>
        <w:rPr/>
      </w:pPr>
      <w:r>
        <w:rPr/>
        <w:t>KAOMA#18(f): Removed the "reduce the value thereof" protection</w:t>
      </w:r>
    </w:p>
    <w:p>
      <w:pPr>
        <w:pStyle w:val="BodyText"/>
        <w:numPr>
          <w:ilvl w:val="0"/>
          <w:numId w:val="33"/>
        </w:numPr>
        <w:rPr/>
      </w:pPr>
      <w:r>
        <w:rPr/>
        <w:t>KAOMA#1(3): Applies to any project with 8+ apartments, regardless of use</w:t>
      </w:r>
    </w:p>
    <w:p>
      <w:pPr>
        <w:pStyle w:val="Heading3"/>
        <w:numPr>
          <w:ilvl w:val="0"/>
          <w:numId w:val="0"/>
        </w:numPr>
        <w:ind w:hanging="0" w:start="0"/>
        <w:rPr/>
      </w:pPr>
      <w:bookmarkStart w:id="91" w:name="__RefHeading___Toc56204_880593128"/>
      <w:bookmarkEnd w:id="91"/>
      <w:r>
        <w:rPr/>
        <w:t>3. Causal Chain</w:t>
      </w:r>
    </w:p>
    <w:p>
      <w:pPr>
        <w:pStyle w:val="BodyText"/>
        <w:rPr/>
      </w:pPr>
      <w:r>
        <w:rPr>
          <w:rStyle w:val="Strong"/>
        </w:rPr>
        <w:t>(See Appendix 9, Chains 1-4)</w:t>
      </w:r>
    </w:p>
    <w:p>
      <w:pPr>
        <w:pStyle w:val="Heading3"/>
        <w:numPr>
          <w:ilvl w:val="2"/>
          <w:numId w:val="2"/>
        </w:numPr>
        <w:ind w:hanging="0" w:start="0"/>
        <w:rPr/>
      </w:pPr>
      <w:bookmarkStart w:id="92" w:name="__RefHeading___Toc56206_880593128"/>
      <w:bookmarkEnd w:id="92"/>
      <w:r>
        <w:rPr/>
        <w:t>4. Atomic Changes Required</w:t>
      </w:r>
    </w:p>
    <w:p>
      <w:pPr>
        <w:pStyle w:val="BodyText"/>
        <w:rPr/>
      </w:pPr>
      <w:r>
        <w:rPr>
          <w:rStyle w:val="Strong"/>
        </w:rPr>
        <w:t>Change 1: Amend KAOMA#18(b)</w:t>
      </w:r>
    </w:p>
    <w:p>
      <w:pPr>
        <w:pStyle w:val="BodyText"/>
        <w:rPr/>
      </w:pPr>
      <w:r>
        <w:rPr>
          <w:rStyle w:val="Emphasis"/>
        </w:rPr>
        <w:t>Add:</w:t>
      </w:r>
      <w:r>
        <w:rPr/>
        <w:t xml:space="preserve"> "No apartment owner shall change the use of an apartment from residential to commercial without the prior approval of the association (by 75% of all owners) and the Competent Authority."</w:t>
      </w:r>
    </w:p>
    <w:p>
      <w:pPr>
        <w:pStyle w:val="BodyText"/>
        <w:rPr/>
      </w:pPr>
      <w:r>
        <w:rPr>
          <w:rStyle w:val="Strong"/>
        </w:rPr>
        <w:t>Change 2: Amend KAOMA#18(f)</w:t>
      </w:r>
    </w:p>
    <w:p>
      <w:pPr>
        <w:pStyle w:val="BodyText"/>
        <w:rPr/>
      </w:pPr>
      <w:r>
        <w:rPr>
          <w:rStyle w:val="Emphasis"/>
        </w:rPr>
        <w:t>Insert:</w:t>
      </w:r>
      <w:r>
        <w:rPr/>
        <w:t xml:space="preserve"> "or reduce the value thereof" after "external appearance."</w:t>
      </w:r>
    </w:p>
    <w:p>
      <w:pPr>
        <w:pStyle w:val="BodyText"/>
        <w:rPr/>
      </w:pPr>
      <w:r>
        <w:rPr>
          <w:rStyle w:val="Strong"/>
        </w:rPr>
        <w:t>Change 3: Amend KAOMA#1(3)</w:t>
      </w:r>
    </w:p>
    <w:p>
      <w:pPr>
        <w:pStyle w:val="BodyText"/>
        <w:rPr/>
      </w:pPr>
      <w:r>
        <w:rPr>
          <w:rStyle w:val="Emphasis"/>
        </w:rPr>
        <w:t>Add:</w:t>
      </w:r>
      <w:r>
        <w:rPr/>
        <w:t xml:space="preserve"> "Provided that this Act shall apply only to projects that are substantially residential in character."</w:t>
      </w:r>
    </w:p>
    <w:p>
      <w:pPr>
        <w:pStyle w:val="Heading3"/>
        <w:numPr>
          <w:ilvl w:val="2"/>
          <w:numId w:val="2"/>
        </w:numPr>
        <w:ind w:hanging="0" w:start="0"/>
        <w:rPr/>
      </w:pPr>
      <w:bookmarkStart w:id="93" w:name="__RefHeading___Toc56208_880593128"/>
      <w:bookmarkEnd w:id="93"/>
      <w:r>
        <w:rPr/>
        <w:t>5. Justification</w:t>
      </w:r>
    </w:p>
    <w:p>
      <w:pPr>
        <w:pStyle w:val="BodyText"/>
        <w:rPr/>
      </w:pPr>
      <w:r>
        <w:rPr>
          <w:rStyle w:val="Strong"/>
        </w:rPr>
        <w:t>(See Appendix 9, Section 6)</w:t>
      </w:r>
    </w:p>
    <w:p>
      <w:pPr>
        <w:pStyle w:val="HorizontalLine"/>
        <w:rPr/>
      </w:pPr>
      <w:r>
        <w:rPr/>
      </w:r>
    </w:p>
    <w:p>
      <w:pPr>
        <w:pStyle w:val="Heading2"/>
        <w:rPr/>
      </w:pPr>
      <w:bookmarkStart w:id="94" w:name="__RefHeading___Toc56210_880593128"/>
      <w:bookmarkEnd w:id="94"/>
      <w:r>
        <w:rPr/>
        <w:t>Appendix 14: Prohibit separate associations for mixed-use</w:t>
      </w:r>
    </w:p>
    <w:p>
      <w:pPr>
        <w:pStyle w:val="Heading3"/>
        <w:numPr>
          <w:ilvl w:val="0"/>
          <w:numId w:val="2"/>
        </w:numPr>
        <w:ind w:hanging="0" w:start="0"/>
        <w:rPr/>
      </w:pPr>
      <w:bookmarkStart w:id="95" w:name="__RefHeading___Toc56212_880593128"/>
      <w:bookmarkEnd w:id="95"/>
      <w:r>
        <w:rPr/>
        <w:t>1. Problem Statement</w:t>
      </w:r>
    </w:p>
    <w:p>
      <w:pPr>
        <w:pStyle w:val="BodyText"/>
        <w:rPr/>
      </w:pPr>
      <w:r>
        <w:rPr/>
        <w:t>KAOMA#21(5) allows separate associations for residential, commercial, and EWS units. This fragments residential owners' collective bargaining power. The Act provides no guidance on resolving conflicts between associations.</w:t>
      </w:r>
    </w:p>
    <w:p>
      <w:pPr>
        <w:pStyle w:val="Heading3"/>
        <w:numPr>
          <w:ilvl w:val="2"/>
          <w:numId w:val="2"/>
        </w:numPr>
        <w:ind w:hanging="0" w:start="0"/>
        <w:rPr/>
      </w:pPr>
      <w:bookmarkStart w:id="96" w:name="__RefHeading___Toc56214_880593128"/>
      <w:bookmarkEnd w:id="96"/>
      <w:r>
        <w:rPr/>
        <w:t>2. Sections Involved</w:t>
      </w:r>
    </w:p>
    <w:p>
      <w:pPr>
        <w:pStyle w:val="BodyText"/>
        <w:numPr>
          <w:ilvl w:val="0"/>
          <w:numId w:val="47"/>
        </w:numPr>
        <w:rPr/>
      </w:pPr>
      <w:r>
        <w:rPr/>
        <w:t>KAOMA#21(5): "in the case of mixed-use developments including residential apartments, commercial units or units reserved for Economically Weaker Sections (EWS) or other categories, separate associations may be formed in such manner as may be prescribed."</w:t>
      </w:r>
    </w:p>
    <w:p>
      <w:pPr>
        <w:pStyle w:val="Heading3"/>
        <w:numPr>
          <w:ilvl w:val="0"/>
          <w:numId w:val="0"/>
        </w:numPr>
        <w:ind w:hanging="0" w:start="0"/>
        <w:rPr/>
      </w:pPr>
      <w:bookmarkStart w:id="97" w:name="__RefHeading___Toc56216_880593128"/>
      <w:bookmarkEnd w:id="97"/>
      <w:r>
        <w:rPr/>
        <w:t>3. Causal Chain</w:t>
      </w:r>
    </w:p>
    <w:p>
      <w:pPr>
        <w:pStyle w:val="BodyText"/>
        <w:rPr/>
      </w:pPr>
      <w:r>
        <w:rPr/>
        <w:t>1.1: #21(5) → Separate associations for residential and commercial.</w:t>
        <w:br/>
        <w:t>→ Residential and commercial owners in different associations.</w:t>
      </w:r>
    </w:p>
    <w:p>
      <w:pPr>
        <w:pStyle w:val="BodyText"/>
        <w:rPr/>
      </w:pPr>
      <w:r>
        <w:rPr/>
        <w:t>1.2: Fragmentation → Residential owners' collective bargaining power reduced.</w:t>
        <w:br/>
        <w:t>→ Commercial interests (corporate entities with superior resources) dominate.</w:t>
      </w:r>
    </w:p>
    <w:p>
      <w:pPr>
        <w:pStyle w:val="BodyText"/>
        <w:rPr/>
      </w:pPr>
      <w:r>
        <w:rPr/>
        <w:t>1.3: Conflicts between associations → No mechanism for resolution.</w:t>
        <w:br/>
        <w:t>→ Residential owners cannot protect interests against commercial associations.</w:t>
      </w:r>
    </w:p>
    <w:p>
      <w:pPr>
        <w:pStyle w:val="BodyText"/>
        <w:rPr/>
      </w:pPr>
      <w:r>
        <w:rPr/>
        <w:t>1.4: Commercial interests dominate governance.</w:t>
        <w:br/>
        <w:t>→ Residential character eroded. Quality of life degraded.</w:t>
      </w:r>
    </w:p>
    <w:p>
      <w:pPr>
        <w:pStyle w:val="BodyText"/>
        <w:rPr/>
      </w:pPr>
      <w:r>
        <w:rPr>
          <w:rStyle w:val="Strong"/>
        </w:rPr>
        <w:t>Final Consequence:</w:t>
      </w:r>
      <w:r>
        <w:rPr/>
        <w:t xml:space="preserve"> Fragmentation reduces residential owners' collective bargaining power. Commercial interests dominate. Residential character eroded.</w:t>
      </w:r>
    </w:p>
    <w:p>
      <w:pPr>
        <w:pStyle w:val="Heading3"/>
        <w:numPr>
          <w:ilvl w:val="2"/>
          <w:numId w:val="2"/>
        </w:numPr>
        <w:ind w:hanging="0" w:start="0"/>
        <w:rPr/>
      </w:pPr>
      <w:bookmarkStart w:id="98" w:name="__RefHeading___Toc56218_880593128"/>
      <w:bookmarkEnd w:id="98"/>
      <w:r>
        <w:rPr/>
        <w:t>4. Atomic Changes Required</w:t>
      </w:r>
    </w:p>
    <w:p>
      <w:pPr>
        <w:pStyle w:val="BodyText"/>
        <w:rPr/>
      </w:pPr>
      <w:r>
        <w:rPr>
          <w:rStyle w:val="Strong"/>
        </w:rPr>
        <w:t>Change 1: Amend KAOMA#21(5)</w:t>
      </w:r>
    </w:p>
    <w:p>
      <w:pPr>
        <w:pStyle w:val="BodyText"/>
        <w:rPr/>
      </w:pPr>
      <w:r>
        <w:rPr>
          <w:rStyle w:val="Emphasis"/>
        </w:rPr>
        <w:t>Delete:</w:t>
      </w:r>
      <w:r>
        <w:rPr/>
        <w:t xml:space="preserve"> the proviso allowing separate associations for mixed-use.</w:t>
      </w:r>
    </w:p>
    <w:p>
      <w:pPr>
        <w:pStyle w:val="BodyText"/>
        <w:rPr/>
      </w:pPr>
      <w:r>
        <w:rPr>
          <w:rStyle w:val="Emphasis"/>
        </w:rPr>
        <w:t>Replace:</w:t>
      </w:r>
      <w:r>
        <w:rPr/>
        <w:t xml:space="preserve"> "Notwithstanding anything contained in this sub-section, a single association shall be formed for the entire project, irrespective of the presence of residential, commercial, or EWS units. No separate associations shall be permitted."</w:t>
      </w:r>
    </w:p>
    <w:p>
      <w:pPr>
        <w:pStyle w:val="BodyText"/>
        <w:rPr/>
      </w:pPr>
      <w:r>
        <w:rPr>
          <w:rStyle w:val="Strong"/>
        </w:rPr>
        <w:t>Change 2: Alternative (If deletion not possible)</w:t>
      </w:r>
    </w:p>
    <w:p>
      <w:pPr>
        <w:pStyle w:val="BodyText"/>
        <w:rPr/>
      </w:pPr>
      <w:r>
        <w:rPr>
          <w:rStyle w:val="Emphasis"/>
        </w:rPr>
        <w:t>Add:</w:t>
      </w:r>
      <w:r>
        <w:rPr/>
        <w:t xml:space="preserve"> "Provided that separate associations may be formed only with the consent of not less than 75% of all residential owners, and such formation shall not reduce the collective bargaining power of residential owners. Residential owners shall have veto power over any decision affecting their interests."</w:t>
      </w:r>
    </w:p>
    <w:p>
      <w:pPr>
        <w:pStyle w:val="Heading3"/>
        <w:numPr>
          <w:ilvl w:val="2"/>
          <w:numId w:val="2"/>
        </w:numPr>
        <w:ind w:hanging="0" w:start="0"/>
        <w:rPr/>
      </w:pPr>
      <w:bookmarkStart w:id="99" w:name="__RefHeading___Toc56220_880593128"/>
      <w:bookmarkEnd w:id="99"/>
      <w:r>
        <w:rPr/>
        <w:t>5. Justification</w:t>
      </w:r>
    </w:p>
    <w:p>
      <w:pPr>
        <w:pStyle w:val="BodyText"/>
        <w:rPr/>
      </w:pPr>
      <w:r>
        <w:rPr/>
        <w:t>Fragmentation reduces residential owners' collective bargaining power to resist commercialization. The Act provides no guidance on resolving conflicts between associations.</w:t>
      </w:r>
    </w:p>
    <w:p>
      <w:pPr>
        <w:pStyle w:val="BodyText"/>
        <w:rPr/>
      </w:pPr>
      <w:r>
        <w:rPr/>
        <w:t>A single association ensures:</w:t>
      </w:r>
    </w:p>
    <w:p>
      <w:pPr>
        <w:pStyle w:val="BodyText"/>
        <w:numPr>
          <w:ilvl w:val="0"/>
          <w:numId w:val="34"/>
        </w:numPr>
        <w:rPr/>
      </w:pPr>
      <w:r>
        <w:rPr/>
        <w:t>Residential owners have collective bargaining power</w:t>
      </w:r>
    </w:p>
    <w:p>
      <w:pPr>
        <w:pStyle w:val="BodyText"/>
        <w:numPr>
          <w:ilvl w:val="0"/>
          <w:numId w:val="34"/>
        </w:numPr>
        <w:rPr/>
      </w:pPr>
      <w:r>
        <w:rPr/>
        <w:t>Commercial interests cannot dominate governance</w:t>
      </w:r>
    </w:p>
    <w:p>
      <w:pPr>
        <w:pStyle w:val="BodyText"/>
        <w:numPr>
          <w:ilvl w:val="0"/>
          <w:numId w:val="34"/>
        </w:numPr>
        <w:rPr/>
      </w:pPr>
      <w:r>
        <w:rPr/>
        <w:t>No jurisdictional disputes between associations</w:t>
      </w:r>
    </w:p>
    <w:p>
      <w:pPr>
        <w:pStyle w:val="BodyText"/>
        <w:numPr>
          <w:ilvl w:val="0"/>
          <w:numId w:val="34"/>
        </w:numPr>
        <w:rPr/>
      </w:pPr>
      <w:r>
        <w:rPr/>
        <w:t>Uniform governance standards</w:t>
      </w:r>
    </w:p>
    <w:p>
      <w:pPr>
        <w:pStyle w:val="HorizontalLine"/>
        <w:rPr/>
      </w:pPr>
      <w:r>
        <w:rPr/>
      </w:r>
    </w:p>
    <w:p>
      <w:pPr>
        <w:pStyle w:val="Heading2"/>
        <w:rPr/>
      </w:pPr>
      <w:bookmarkStart w:id="100" w:name="__RefHeading___Toc56222_880593128"/>
      <w:bookmarkEnd w:id="100"/>
      <w:r>
        <w:rPr/>
        <w:t>Appendix 15: Voting - hybrid model</w:t>
      </w:r>
    </w:p>
    <w:p>
      <w:pPr>
        <w:pStyle w:val="Heading3"/>
        <w:numPr>
          <w:ilvl w:val="0"/>
          <w:numId w:val="2"/>
        </w:numPr>
        <w:ind w:hanging="0" w:start="0"/>
        <w:rPr/>
      </w:pPr>
      <w:bookmarkStart w:id="101" w:name="__RefHeading___Toc56224_880593128"/>
      <w:bookmarkEnd w:id="101"/>
      <w:r>
        <w:rPr/>
        <w:t>1. Problem Statement</w:t>
      </w:r>
    </w:p>
    <w:p>
      <w:pPr>
        <w:pStyle w:val="BodyText"/>
        <w:rPr/>
      </w:pPr>
      <w:r>
        <w:rPr/>
        <w:t>KAOMA#21(7) provides one-vote-one-owner regardless of the number of apartments owned. This creates perverse incentives. A person owning 10 apartments has 1 vote. If they sell 9, those 9 buyers get 9 votes (massive increase). While philosophically appealing for use rights of common areas, becomes problematic for financial decisions where burden falls disproportionately on larger owners.</w:t>
      </w:r>
    </w:p>
    <w:p>
      <w:pPr>
        <w:pStyle w:val="Heading3"/>
        <w:numPr>
          <w:ilvl w:val="2"/>
          <w:numId w:val="2"/>
        </w:numPr>
        <w:ind w:hanging="0" w:start="0"/>
        <w:rPr/>
      </w:pPr>
      <w:bookmarkStart w:id="102" w:name="__RefHeading___Toc56226_880593128"/>
      <w:bookmarkEnd w:id="102"/>
      <w:r>
        <w:rPr/>
        <w:t>2. Sections Involved</w:t>
      </w:r>
    </w:p>
    <w:p>
      <w:pPr>
        <w:pStyle w:val="BodyText"/>
        <w:numPr>
          <w:ilvl w:val="0"/>
          <w:numId w:val="35"/>
        </w:numPr>
        <w:rPr/>
      </w:pPr>
      <w:r>
        <w:rPr/>
        <w:t>KAOMA#21(7): "a person shall be treated as one member of the association and shall have one vote irrespective of the number of apartments owned or allotted in his name or in the name of any entity controlled by him."</w:t>
      </w:r>
    </w:p>
    <w:p>
      <w:pPr>
        <w:pStyle w:val="Heading3"/>
        <w:numPr>
          <w:ilvl w:val="0"/>
          <w:numId w:val="0"/>
        </w:numPr>
        <w:ind w:hanging="0" w:start="0"/>
        <w:rPr/>
      </w:pPr>
      <w:bookmarkStart w:id="103" w:name="__RefHeading___Toc56228_880593128"/>
      <w:bookmarkEnd w:id="103"/>
      <w:r>
        <w:rPr/>
        <w:t>3. Causal Chain</w:t>
      </w:r>
    </w:p>
    <w:p>
      <w:pPr>
        <w:pStyle w:val="BodyText"/>
        <w:rPr/>
      </w:pPr>
      <w:r>
        <w:rPr/>
        <w:t>1.1: #21(7) → One vote per owner, regardless of apartments.</w:t>
        <w:br/>
        <w:t>→ Owner of 10 apartments has 1 vote.</w:t>
      </w:r>
    </w:p>
    <w:p>
      <w:pPr>
        <w:pStyle w:val="BodyText"/>
        <w:rPr/>
      </w:pPr>
      <w:r>
        <w:rPr/>
        <w:t>1.2: Owner sells 9 apartments → Those 9 buyers get 9 votes.</w:t>
        <w:br/>
        <w:t>→ Massive increase in voting power from 1 to 10. ∴ Incoherent.</w:t>
      </w:r>
    </w:p>
    <w:p>
      <w:pPr>
        <w:pStyle w:val="BodyText"/>
        <w:rPr/>
      </w:pPr>
      <w:r>
        <w:rPr/>
        <w:t>1.3: For routine matters → One vote per owner is fair.</w:t>
        <w:br/>
        <w:t>→ All owners have equal rights to common areas.</w:t>
      </w:r>
    </w:p>
    <w:p>
      <w:pPr>
        <w:pStyle w:val="BodyText"/>
        <w:rPr/>
      </w:pPr>
      <w:r>
        <w:rPr/>
        <w:t>1.4: For financial decisions → One vote per owner is unfair.</w:t>
        <w:br/>
        <w:t>→ Burden falls disproportionately on larger owners. They have no proportionate say.</w:t>
      </w:r>
    </w:p>
    <w:p>
      <w:pPr>
        <w:pStyle w:val="BodyText"/>
        <w:rPr/>
      </w:pPr>
      <w:r>
        <w:rPr/>
        <w:t>1.5: Market incentive to split assets for voting power.</w:t>
        <w:br/>
        <w:t>→ Owners can sell small fractions to increase voting bloc.</w:t>
      </w:r>
    </w:p>
    <w:p>
      <w:pPr>
        <w:pStyle w:val="BodyText"/>
        <w:rPr/>
      </w:pPr>
      <w:r>
        <w:rPr>
          <w:rStyle w:val="Strong"/>
        </w:rPr>
        <w:t>Final Consequence:</w:t>
      </w:r>
      <w:r>
        <w:rPr/>
        <w:t xml:space="preserve"> One-vote-one-owner creates perverse incentives. Incoherent. Unfair for financial decisions.</w:t>
      </w:r>
    </w:p>
    <w:p>
      <w:pPr>
        <w:pStyle w:val="Heading3"/>
        <w:numPr>
          <w:ilvl w:val="2"/>
          <w:numId w:val="2"/>
        </w:numPr>
        <w:ind w:hanging="0" w:start="0"/>
        <w:rPr/>
      </w:pPr>
      <w:bookmarkStart w:id="104" w:name="__RefHeading___Toc56230_880593128"/>
      <w:bookmarkEnd w:id="104"/>
      <w:r>
        <w:rPr/>
        <w:t>4. Atomic Changes Required</w:t>
      </w:r>
    </w:p>
    <w:p>
      <w:pPr>
        <w:pStyle w:val="BodyText"/>
        <w:rPr/>
      </w:pPr>
      <w:r>
        <w:rPr>
          <w:rStyle w:val="Strong"/>
        </w:rPr>
        <w:t>Change 1: Amend KAOMA#21(7) (Hybrid Model)</w:t>
      </w:r>
    </w:p>
    <w:p>
      <w:pPr>
        <w:pStyle w:val="BodyText"/>
        <w:rPr/>
      </w:pPr>
      <w:r>
        <w:rPr>
          <w:rStyle w:val="Emphasis"/>
        </w:rPr>
        <w:t>Replace:</w:t>
      </w:r>
      <w:r>
        <w:rPr/>
        <w:br/>
        <w:t>"Every allottee or apartment owner shall be a member of the association.</w:t>
      </w:r>
    </w:p>
    <w:p>
      <w:pPr>
        <w:pStyle w:val="BodyText"/>
        <w:rPr/>
      </w:pPr>
      <w:r>
        <w:rPr/>
        <w:t>For routine matters (day-to-day maintenance, operational matters, and election of office bearers): one vote per owner.</w:t>
      </w:r>
    </w:p>
    <w:p>
      <w:pPr>
        <w:pStyle w:val="BodyText"/>
        <w:rPr/>
      </w:pPr>
      <w:r>
        <w:rPr/>
        <w:t>For major financial decisions (special assessments, redevelopment, sale of common assets, amendment of bye-laws affecting UDI): voting shall be weighted by the undivided right, title and interest (UDI) of the apartment.</w:t>
      </w:r>
    </w:p>
    <w:p>
      <w:pPr>
        <w:pStyle w:val="BodyText"/>
        <w:rPr/>
      </w:pPr>
      <w:r>
        <w:rPr/>
        <w:t>Provided that for redevelopment decisions, voting shall be weighted by UDI and shall require the consent of not less than 75% of the total UDI of all apartment owners."</w:t>
      </w:r>
    </w:p>
    <w:p>
      <w:pPr>
        <w:pStyle w:val="Heading3"/>
        <w:numPr>
          <w:ilvl w:val="2"/>
          <w:numId w:val="2"/>
        </w:numPr>
        <w:ind w:hanging="0" w:start="0"/>
        <w:rPr/>
      </w:pPr>
      <w:bookmarkStart w:id="105" w:name="__RefHeading___Toc56232_880593128"/>
      <w:bookmarkEnd w:id="105"/>
      <w:r>
        <w:rPr/>
        <w:t>5. Justification</w:t>
      </w:r>
    </w:p>
    <w:p>
      <w:pPr>
        <w:pStyle w:val="BodyText"/>
        <w:rPr/>
      </w:pPr>
      <w:r>
        <w:rPr/>
        <w:t>While philosophically appealing for use rights of common areas, one-vote-one-owner becomes problematic for financial decisions where the burden falls disproportionately on larger apartment owners.</w:t>
      </w:r>
    </w:p>
    <w:p>
      <w:pPr>
        <w:pStyle w:val="BodyText"/>
        <w:rPr/>
      </w:pPr>
      <w:r>
        <w:rPr/>
        <w:t>A hybrid model balances the democratic ideal with the practical reality that financial burdens are not shared equally. Routine matters remain democratic. Major financial decisions are weighted by UDI to ensure those who bear disproportionate costs have proportionate say.</w:t>
      </w:r>
    </w:p>
    <w:p>
      <w:pPr>
        <w:pStyle w:val="HorizontalLine"/>
        <w:rPr/>
      </w:pPr>
      <w:r>
        <w:rPr/>
      </w:r>
    </w:p>
    <w:p>
      <w:pPr>
        <w:pStyle w:val="Heading2"/>
        <w:rPr/>
      </w:pPr>
      <w:bookmarkStart w:id="106" w:name="__RefHeading___Toc56234_880593128"/>
      <w:bookmarkEnd w:id="106"/>
      <w:r>
        <w:rPr/>
        <w:t>Appendix 16: LCA - define</w:t>
      </w:r>
    </w:p>
    <w:p>
      <w:pPr>
        <w:pStyle w:val="Heading3"/>
        <w:numPr>
          <w:ilvl w:val="0"/>
          <w:numId w:val="2"/>
        </w:numPr>
        <w:ind w:hanging="0" w:start="0"/>
        <w:rPr/>
      </w:pPr>
      <w:bookmarkStart w:id="107" w:name="__RefHeading___Toc56236_880593128"/>
      <w:bookmarkEnd w:id="107"/>
      <w:r>
        <w:rPr/>
        <w:t>1. Problem Statement</w:t>
      </w:r>
    </w:p>
    <w:p>
      <w:pPr>
        <w:pStyle w:val="BodyText"/>
        <w:rPr/>
      </w:pPr>
      <w:r>
        <w:rPr/>
        <w:t>The concept of Limited Common Areas is used throughout the Bill but never defined. KAOMA#14(1)(e) requires the Declaration to list LCAs but there is no definition of what an LCA is.</w:t>
      </w:r>
    </w:p>
    <w:p>
      <w:pPr>
        <w:pStyle w:val="Heading3"/>
        <w:numPr>
          <w:ilvl w:val="2"/>
          <w:numId w:val="2"/>
        </w:numPr>
        <w:ind w:hanging="0" w:start="0"/>
        <w:rPr/>
      </w:pPr>
      <w:bookmarkStart w:id="108" w:name="__RefHeading___Toc56238_880593128"/>
      <w:bookmarkEnd w:id="108"/>
      <w:r>
        <w:rPr/>
        <w:t>2. Sections Involved</w:t>
      </w:r>
    </w:p>
    <w:p>
      <w:pPr>
        <w:pStyle w:val="BodyText"/>
        <w:numPr>
          <w:ilvl w:val="0"/>
          <w:numId w:val="36"/>
        </w:numPr>
        <w:rPr/>
      </w:pPr>
      <w:r>
        <w:rPr/>
        <w:t>KAOMA#2(i): Definition of "common areas and facilities" (no mention of LCA)</w:t>
      </w:r>
    </w:p>
    <w:p>
      <w:pPr>
        <w:pStyle w:val="BodyText"/>
        <w:numPr>
          <w:ilvl w:val="0"/>
          <w:numId w:val="36"/>
        </w:numPr>
        <w:rPr/>
      </w:pPr>
      <w:r>
        <w:rPr/>
        <w:t>KAOMA#14(1)(e): Declaration shall contain "a description of the common areas and facilities of the project, including limited common areas and facilities, if any, specifying the apartments to which their use is reserved"</w:t>
      </w:r>
    </w:p>
    <w:p>
      <w:pPr>
        <w:pStyle w:val="Heading3"/>
        <w:numPr>
          <w:ilvl w:val="0"/>
          <w:numId w:val="0"/>
        </w:numPr>
        <w:ind w:hanging="0" w:start="0"/>
        <w:rPr/>
      </w:pPr>
      <w:bookmarkStart w:id="109" w:name="__RefHeading___Toc56240_880593128"/>
      <w:bookmarkEnd w:id="109"/>
      <w:r>
        <w:rPr/>
        <w:t>3. Causal Chain</w:t>
      </w:r>
    </w:p>
    <w:p>
      <w:pPr>
        <w:pStyle w:val="BodyText"/>
        <w:rPr/>
      </w:pPr>
      <w:r>
        <w:rPr>
          <w:rStyle w:val="Strong"/>
        </w:rPr>
        <w:t>Premise 1:</w:t>
      </w:r>
      <w:r>
        <w:rPr/>
        <w:t xml:space="preserve"> #14(1)(e) requires Declaration to list LCAs.</w:t>
      </w:r>
    </w:p>
    <w:p>
      <w:pPr>
        <w:pStyle w:val="BodyText"/>
        <w:rPr/>
      </w:pPr>
      <w:r>
        <w:rPr>
          <w:rStyle w:val="Strong"/>
        </w:rPr>
        <w:t>Premise 2:</w:t>
      </w:r>
      <w:r>
        <w:rPr/>
        <w:t xml:space="preserve"> #2(i) does not define LCA.</w:t>
      </w:r>
    </w:p>
    <w:p>
      <w:pPr>
        <w:pStyle w:val="BodyText"/>
        <w:rPr/>
      </w:pPr>
      <w:r>
        <w:rPr>
          <w:rStyle w:val="Strong"/>
        </w:rPr>
        <w:t>∴</w:t>
      </w:r>
      <w:r>
        <w:rPr/>
        <w:t xml:space="preserve"> </w:t>
      </w:r>
      <w:r>
        <w:rPr/>
        <w:t>The Act requires a thing to be listed but does not define what it is.</w:t>
      </w:r>
    </w:p>
    <w:p>
      <w:pPr>
        <w:pStyle w:val="HorizontalLine"/>
        <w:rPr/>
      </w:pPr>
      <w:r>
        <w:rPr/>
      </w:r>
    </w:p>
    <w:p>
      <w:pPr>
        <w:pStyle w:val="BodyText"/>
        <w:rPr/>
      </w:pPr>
      <w:r>
        <w:rPr/>
        <w:t>1.1: #14(1)(e) → "including limited common areas and facilities, if any"</w:t>
        <w:br/>
        <w:t>→ LCAs must be listed in the Declaration.</w:t>
      </w:r>
    </w:p>
    <w:p>
      <w:pPr>
        <w:pStyle w:val="BodyText"/>
        <w:rPr/>
      </w:pPr>
      <w:r>
        <w:rPr/>
        <w:t>1.2: #2(i) → No definition of LCA.</w:t>
        <w:br/>
        <w:t>→ What is an LCA? The Act does not say.</w:t>
      </w:r>
    </w:p>
    <w:p>
      <w:pPr>
        <w:pStyle w:val="BodyText"/>
        <w:rPr/>
      </w:pPr>
      <w:r>
        <w:rPr/>
        <w:t>1.3: Without definition → Declaration may omit LCAs or define them inconsistently.</w:t>
        <w:br/>
        <w:t>→ LCAs become a source of disputes.</w:t>
      </w:r>
    </w:p>
    <w:p>
      <w:pPr>
        <w:pStyle w:val="BodyText"/>
        <w:rPr/>
      </w:pPr>
      <w:r>
        <w:rPr/>
        <w:t>1.4: Promoter can exploit ambiguity → Sell common areas as LCAs.</w:t>
        <w:br/>
        <w:t>→ Owners cannot challenge because no definition.</w:t>
      </w:r>
    </w:p>
    <w:p>
      <w:pPr>
        <w:pStyle w:val="BodyText"/>
        <w:rPr/>
      </w:pPr>
      <w:r>
        <w:rPr>
          <w:rStyle w:val="Strong"/>
        </w:rPr>
        <w:t>Final Consequence:</w:t>
      </w:r>
      <w:r>
        <w:rPr/>
        <w:t xml:space="preserve"> LCA used throughout the Bill but never defined. Promoter can exploit ambiguity. LCAs become source of disputes.</w:t>
      </w:r>
    </w:p>
    <w:p>
      <w:pPr>
        <w:pStyle w:val="Heading3"/>
        <w:numPr>
          <w:ilvl w:val="2"/>
          <w:numId w:val="2"/>
        </w:numPr>
        <w:ind w:hanging="0" w:start="0"/>
        <w:rPr/>
      </w:pPr>
      <w:bookmarkStart w:id="110" w:name="__RefHeading___Toc56242_880593128"/>
      <w:bookmarkEnd w:id="110"/>
      <w:r>
        <w:rPr/>
        <w:t>4. Itemized Consequences</w:t>
      </w:r>
    </w:p>
    <w:p>
      <w:pPr>
        <w:pStyle w:val="BodyText"/>
        <w:numPr>
          <w:ilvl w:val="0"/>
          <w:numId w:val="51"/>
        </w:numPr>
        <w:rPr/>
      </w:pPr>
      <w:r>
        <w:rPr>
          <w:rStyle w:val="Strong"/>
        </w:rPr>
        <w:t>No definition:</w:t>
      </w:r>
      <w:r>
        <w:rPr/>
        <w:t xml:space="preserve"> LCA used in #14(1)(e) but not defined in #2(i).</w:t>
      </w:r>
    </w:p>
    <w:p>
      <w:pPr>
        <w:pStyle w:val="BodyText"/>
        <w:numPr>
          <w:ilvl w:val="0"/>
          <w:numId w:val="51"/>
        </w:numPr>
        <w:rPr/>
      </w:pPr>
      <w:r>
        <w:rPr>
          <w:rStyle w:val="Strong"/>
        </w:rPr>
        <w:t>Ambiguity:</w:t>
      </w:r>
      <w:r>
        <w:rPr/>
        <w:t xml:space="preserve"> Promoter can sell common areas as LCAs without challenge.</w:t>
      </w:r>
    </w:p>
    <w:p>
      <w:pPr>
        <w:pStyle w:val="BodyText"/>
        <w:numPr>
          <w:ilvl w:val="0"/>
          <w:numId w:val="51"/>
        </w:numPr>
        <w:rPr/>
      </w:pPr>
      <w:r>
        <w:rPr>
          <w:rStyle w:val="Strong"/>
        </w:rPr>
        <w:t>Disputes:</w:t>
      </w:r>
      <w:r>
        <w:rPr/>
        <w:t xml:space="preserve"> Without definition, owners cannot know what LCAs are.</w:t>
      </w:r>
    </w:p>
    <w:p>
      <w:pPr>
        <w:pStyle w:val="BodyText"/>
        <w:numPr>
          <w:ilvl w:val="0"/>
          <w:numId w:val="51"/>
        </w:numPr>
        <w:rPr/>
      </w:pPr>
      <w:r>
        <w:rPr>
          <w:rStyle w:val="Strong"/>
        </w:rPr>
        <w:t>Fraud:</w:t>
      </w:r>
      <w:r>
        <w:rPr/>
        <w:t xml:space="preserve"> LCAs can be used to hide sale of common areas.</w:t>
      </w:r>
    </w:p>
    <w:p>
      <w:pPr>
        <w:pStyle w:val="Heading3"/>
        <w:numPr>
          <w:ilvl w:val="0"/>
          <w:numId w:val="0"/>
        </w:numPr>
        <w:ind w:hanging="0" w:start="0"/>
        <w:rPr/>
      </w:pPr>
      <w:bookmarkStart w:id="111" w:name="__RefHeading___Toc56244_880593128"/>
      <w:bookmarkEnd w:id="111"/>
      <w:r>
        <w:rPr/>
        <w:t>5. Atomic Changes Required</w:t>
      </w:r>
    </w:p>
    <w:p>
      <w:pPr>
        <w:pStyle w:val="BodyText"/>
        <w:rPr/>
      </w:pPr>
      <w:r>
        <w:rPr>
          <w:rStyle w:val="Strong"/>
        </w:rPr>
        <w:t>Change 1: Amend KAOMA#2(i)</w:t>
      </w:r>
    </w:p>
    <w:p>
      <w:pPr>
        <w:pStyle w:val="BodyText"/>
        <w:rPr/>
      </w:pPr>
      <w:r>
        <w:rPr>
          <w:rStyle w:val="Emphasis"/>
        </w:rPr>
        <w:t>Add definition:</w:t>
      </w:r>
      <w:r>
        <w:rPr/>
        <w:br/>
        <w:t>"Limited Common Areas" means those common areas and facilities which are reserved for the exclusive use of one or more but not all apartment owners, as specified in the Declaration. Limited Common Areas are a subset of common areas and facilities."</w:t>
      </w:r>
    </w:p>
    <w:p>
      <w:pPr>
        <w:pStyle w:val="Heading3"/>
        <w:numPr>
          <w:ilvl w:val="2"/>
          <w:numId w:val="2"/>
        </w:numPr>
        <w:ind w:hanging="0" w:start="0"/>
        <w:rPr/>
      </w:pPr>
      <w:bookmarkStart w:id="112" w:name="__RefHeading___Toc56246_880593128"/>
      <w:bookmarkEnd w:id="112"/>
      <w:r>
        <w:rPr/>
        <w:t>6. Justification</w:t>
      </w:r>
    </w:p>
    <w:p>
      <w:pPr>
        <w:pStyle w:val="BodyText"/>
        <w:rPr/>
      </w:pPr>
      <w:r>
        <w:rPr/>
        <w:t>By definition, LCA is a common area reserved for use of a specific owner. LCAs are a subset of common areas in the Property. KAOMA#14(1)(e) requires Declaration to list LCAs but there is no definition!</w:t>
      </w:r>
    </w:p>
    <w:p>
      <w:pPr>
        <w:pStyle w:val="BodyText"/>
        <w:rPr/>
      </w:pPr>
      <w:r>
        <w:rPr/>
        <w:t>The definition clarifies:</w:t>
      </w:r>
    </w:p>
    <w:p>
      <w:pPr>
        <w:pStyle w:val="BodyText"/>
        <w:numPr>
          <w:ilvl w:val="0"/>
          <w:numId w:val="37"/>
        </w:numPr>
        <w:rPr/>
      </w:pPr>
      <w:r>
        <w:rPr/>
        <w:t>LCAs are common areas (owned collectively by all owners in UDI)</w:t>
      </w:r>
    </w:p>
    <w:p>
      <w:pPr>
        <w:pStyle w:val="BodyText"/>
        <w:numPr>
          <w:ilvl w:val="0"/>
          <w:numId w:val="37"/>
        </w:numPr>
        <w:rPr/>
      </w:pPr>
      <w:r>
        <w:rPr/>
        <w:t>LCAs are reserved for exclusive use of specific owners</w:t>
      </w:r>
    </w:p>
    <w:p>
      <w:pPr>
        <w:pStyle w:val="BodyText"/>
        <w:numPr>
          <w:ilvl w:val="0"/>
          <w:numId w:val="37"/>
        </w:numPr>
        <w:rPr/>
      </w:pPr>
      <w:r>
        <w:rPr/>
        <w:t>LCAs must be specified in the Declaration</w:t>
      </w:r>
    </w:p>
    <w:p>
      <w:pPr>
        <w:pStyle w:val="BodyText"/>
        <w:numPr>
          <w:ilvl w:val="0"/>
          <w:numId w:val="37"/>
        </w:numPr>
        <w:rPr/>
      </w:pPr>
      <w:r>
        <w:rPr/>
        <w:t>LCAs are a subset of common areas</w:t>
      </w:r>
    </w:p>
    <w:p>
      <w:pPr>
        <w:pStyle w:val="BodyText"/>
        <w:rPr/>
      </w:pPr>
      <w:r>
        <w:rPr/>
        <w:t>Without this definition, the Act requires something to be listed but does not say what it is. This creates ambiguity and enables fraud.</w:t>
      </w:r>
    </w:p>
    <w:p>
      <w:pPr>
        <w:pStyle w:val="HorizontalLine"/>
        <w:rPr/>
      </w:pPr>
      <w:r>
        <w:rPr/>
      </w:r>
    </w:p>
    <w:p>
      <w:pPr>
        <w:pStyle w:val="Heading2"/>
        <w:rPr/>
      </w:pPr>
      <w:bookmarkStart w:id="113" w:name="__RefHeading___Toc56248_880593128"/>
      <w:bookmarkEnd w:id="113"/>
      <w:r>
        <w:rPr/>
        <w:t>Appendix 17: Service of summons - individual impleadment</w:t>
      </w:r>
    </w:p>
    <w:p>
      <w:pPr>
        <w:pStyle w:val="Heading3"/>
        <w:numPr>
          <w:ilvl w:val="0"/>
          <w:numId w:val="2"/>
        </w:numPr>
        <w:ind w:hanging="0" w:start="0"/>
        <w:rPr/>
      </w:pPr>
      <w:bookmarkStart w:id="114" w:name="__RefHeading___Toc56250_880593128"/>
      <w:bookmarkEnd w:id="114"/>
      <w:r>
        <w:rPr/>
        <w:t>1. Problem Statement</w:t>
      </w:r>
    </w:p>
    <w:p>
      <w:pPr>
        <w:pStyle w:val="BodyText"/>
        <w:rPr/>
      </w:pPr>
      <w:r>
        <w:rPr/>
        <w:t>KAOMA#57(4) allows service of summons on the association where individual owners' rights are affected. This violates natural justice. If right, title, or interest of one or more owners is affected, they become necessary party. Entitled to represent themselves directly, not through MC. Being "brought to notice" is not same as being served with summons.</w:t>
      </w:r>
    </w:p>
    <w:p>
      <w:pPr>
        <w:pStyle w:val="Heading3"/>
        <w:numPr>
          <w:ilvl w:val="2"/>
          <w:numId w:val="2"/>
        </w:numPr>
        <w:ind w:hanging="0" w:start="0"/>
        <w:rPr/>
      </w:pPr>
      <w:bookmarkStart w:id="115" w:name="__RefHeading___Toc56252_880593128"/>
      <w:bookmarkEnd w:id="115"/>
      <w:r>
        <w:rPr/>
        <w:t>2. Sections Involved</w:t>
      </w:r>
    </w:p>
    <w:p>
      <w:pPr>
        <w:pStyle w:val="BodyText"/>
        <w:numPr>
          <w:ilvl w:val="0"/>
          <w:numId w:val="38"/>
        </w:numPr>
        <w:rPr/>
      </w:pPr>
      <w:r>
        <w:rPr/>
        <w:t>KAOMA#57(4): "Service of summons or other legal process in any proceeding relating to the common areas and facilities or affecting two or more apartments may be effected upon the person designated in the declaration or bye-laws to receive such service on behalf of the association and where they affect the right, title or interest of one or more apartment owners then the same must be brought to the notice and knowledge of all the concerned owners."</w:t>
      </w:r>
    </w:p>
    <w:p>
      <w:pPr>
        <w:pStyle w:val="Heading3"/>
        <w:numPr>
          <w:ilvl w:val="0"/>
          <w:numId w:val="0"/>
        </w:numPr>
        <w:ind w:hanging="0" w:start="0"/>
        <w:rPr/>
      </w:pPr>
      <w:bookmarkStart w:id="116" w:name="__RefHeading___Toc56254_880593128"/>
      <w:bookmarkEnd w:id="116"/>
      <w:r>
        <w:rPr/>
        <w:t>3. Causal Chain</w:t>
      </w:r>
    </w:p>
    <w:p>
      <w:pPr>
        <w:pStyle w:val="BodyText"/>
        <w:rPr/>
      </w:pPr>
      <w:r>
        <w:rPr>
          <w:rStyle w:val="Strong"/>
        </w:rPr>
        <w:t>Premise 1:</w:t>
      </w:r>
      <w:r>
        <w:rPr/>
        <w:t xml:space="preserve"> #57(4) allows service on association where owners' rights affected.</w:t>
      </w:r>
    </w:p>
    <w:p>
      <w:pPr>
        <w:pStyle w:val="BodyText"/>
        <w:rPr/>
      </w:pPr>
      <w:r>
        <w:rPr>
          <w:rStyle w:val="Strong"/>
        </w:rPr>
        <w:t>Premise 2:</w:t>
      </w:r>
      <w:r>
        <w:rPr/>
        <w:t xml:space="preserve"> "Brought to notice" ≠ being served with summons.</w:t>
      </w:r>
    </w:p>
    <w:p>
      <w:pPr>
        <w:pStyle w:val="BodyText"/>
        <w:rPr/>
      </w:pPr>
      <w:r>
        <w:rPr>
          <w:rStyle w:val="Strong"/>
        </w:rPr>
        <w:t>Premise 3:</w:t>
      </w:r>
      <w:r>
        <w:rPr/>
        <w:t xml:space="preserve"> Owner whose title is affected is a necessary party.</w:t>
      </w:r>
    </w:p>
    <w:p>
      <w:pPr>
        <w:pStyle w:val="BodyText"/>
        <w:rPr/>
      </w:pPr>
      <w:r>
        <w:rPr>
          <w:rStyle w:val="Strong"/>
        </w:rPr>
        <w:t>∴</w:t>
      </w:r>
      <w:r>
        <w:rPr/>
        <w:t xml:space="preserve"> </w:t>
      </w:r>
      <w:r>
        <w:rPr/>
        <w:t>#57(4) violates natural justice (audi alteram partem).</w:t>
      </w:r>
    </w:p>
    <w:p>
      <w:pPr>
        <w:pStyle w:val="HorizontalLine"/>
        <w:rPr/>
      </w:pPr>
      <w:r>
        <w:rPr/>
      </w:r>
    </w:p>
    <w:p>
      <w:pPr>
        <w:pStyle w:val="BodyText"/>
        <w:rPr/>
      </w:pPr>
      <w:r>
        <w:rPr/>
        <w:t>1.1: #57(4) → Association served on behalf of owners.</w:t>
        <w:br/>
        <w:t>→ MC receives summons, not individual owners.</w:t>
      </w:r>
    </w:p>
    <w:p>
      <w:pPr>
        <w:pStyle w:val="BodyText"/>
        <w:rPr/>
      </w:pPr>
      <w:r>
        <w:rPr/>
        <w:t>1.2: MC may have conflict of interest with minority owner.</w:t>
        <w:br/>
        <w:t>→ Majority-controlled MC cannot be trusted to zealously defend minority owner's personal title.</w:t>
      </w:r>
    </w:p>
    <w:p>
      <w:pPr>
        <w:pStyle w:val="BodyText"/>
        <w:rPr/>
      </w:pPr>
      <w:r>
        <w:rPr/>
        <w:t>1.3: Owner is merely "brought to notice" — not served.</w:t>
        <w:br/>
        <w:t>→ No opportunity to be heard. No right to cross-examine. No right to appeal.</w:t>
      </w:r>
    </w:p>
    <w:p>
      <w:pPr>
        <w:pStyle w:val="BodyText"/>
        <w:rPr/>
      </w:pPr>
      <w:r>
        <w:rPr/>
        <w:t>1.4: Limitation periods run while MC defends (or fails to defend).</w:t>
        <w:br/>
        <w:t>→ Owner's limitation to file separate suit may expire.</w:t>
      </w:r>
    </w:p>
    <w:p>
      <w:pPr>
        <w:pStyle w:val="BodyText"/>
        <w:rPr/>
      </w:pPr>
      <w:r>
        <w:rPr/>
        <w:t>1.5: MC loses or settles case → Owner cannot appeal.</w:t>
        <w:br/>
        <w:t>→ Owner never a party of record. No right to appeal.</w:t>
      </w:r>
    </w:p>
    <w:p>
      <w:pPr>
        <w:pStyle w:val="BodyText"/>
        <w:rPr/>
      </w:pPr>
      <w:r>
        <w:rPr>
          <w:rStyle w:val="Strong"/>
        </w:rPr>
        <w:t>Final Consequence:</w:t>
      </w:r>
      <w:r>
        <w:rPr/>
        <w:t xml:space="preserve"> Owner's title affected but not personally impleaded. No opportunity to be heard. No right to appeal. Natural justice violated.</w:t>
      </w:r>
    </w:p>
    <w:p>
      <w:pPr>
        <w:pStyle w:val="Heading3"/>
        <w:numPr>
          <w:ilvl w:val="2"/>
          <w:numId w:val="2"/>
        </w:numPr>
        <w:ind w:hanging="0" w:start="0"/>
        <w:rPr/>
      </w:pPr>
      <w:bookmarkStart w:id="117" w:name="__RefHeading___Toc56256_880593128"/>
      <w:bookmarkEnd w:id="117"/>
      <w:r>
        <w:rPr/>
        <w:t>4. Itemized Consequences</w:t>
      </w:r>
    </w:p>
    <w:p>
      <w:pPr>
        <w:pStyle w:val="BodyText"/>
        <w:numPr>
          <w:ilvl w:val="0"/>
          <w:numId w:val="39"/>
        </w:numPr>
        <w:rPr/>
      </w:pPr>
      <w:r>
        <w:rPr>
          <w:rStyle w:val="Strong"/>
        </w:rPr>
        <w:t>Violates natural justice:</w:t>
      </w:r>
      <w:r>
        <w:rPr/>
        <w:t xml:space="preserve"> Owner's title affected but not personally impleaded.</w:t>
      </w:r>
    </w:p>
    <w:p>
      <w:pPr>
        <w:pStyle w:val="BodyText"/>
        <w:numPr>
          <w:ilvl w:val="0"/>
          <w:numId w:val="39"/>
        </w:numPr>
        <w:rPr/>
      </w:pPr>
      <w:r>
        <w:rPr>
          <w:rStyle w:val="Strong"/>
        </w:rPr>
        <w:t>No opportunity to be heard:</w:t>
      </w:r>
      <w:r>
        <w:rPr/>
        <w:t xml:space="preserve"> Being "brought to notice" is not being served with summons.</w:t>
      </w:r>
    </w:p>
    <w:p>
      <w:pPr>
        <w:pStyle w:val="BodyText"/>
        <w:numPr>
          <w:ilvl w:val="0"/>
          <w:numId w:val="39"/>
        </w:numPr>
        <w:rPr/>
      </w:pPr>
      <w:r>
        <w:rPr>
          <w:rStyle w:val="Strong"/>
        </w:rPr>
        <w:t>Conflict of interest:</w:t>
      </w:r>
      <w:r>
        <w:rPr/>
        <w:t xml:space="preserve"> Majority-controlled MC may not defend minority owner's title.</w:t>
      </w:r>
    </w:p>
    <w:p>
      <w:pPr>
        <w:pStyle w:val="BodyText"/>
        <w:numPr>
          <w:ilvl w:val="0"/>
          <w:numId w:val="39"/>
        </w:numPr>
        <w:rPr/>
      </w:pPr>
      <w:r>
        <w:rPr>
          <w:rStyle w:val="Strong"/>
        </w:rPr>
        <w:t>No right to appeal:</w:t>
      </w:r>
      <w:r>
        <w:rPr/>
        <w:t xml:space="preserve"> MC loses or settles; owner cannot appeal.</w:t>
      </w:r>
    </w:p>
    <w:p>
      <w:pPr>
        <w:pStyle w:val="BodyText"/>
        <w:numPr>
          <w:ilvl w:val="0"/>
          <w:numId w:val="39"/>
        </w:numPr>
        <w:rPr/>
      </w:pPr>
      <w:r>
        <w:rPr>
          <w:rStyle w:val="Strong"/>
        </w:rPr>
        <w:t>Limitation periods expire:</w:t>
      </w:r>
      <w:r>
        <w:rPr/>
        <w:t xml:space="preserve"> MC's delays may bar owner's separate suit.</w:t>
      </w:r>
    </w:p>
    <w:p>
      <w:pPr>
        <w:pStyle w:val="Heading3"/>
        <w:numPr>
          <w:ilvl w:val="0"/>
          <w:numId w:val="0"/>
        </w:numPr>
        <w:ind w:hanging="0" w:start="0"/>
        <w:rPr/>
      </w:pPr>
      <w:bookmarkStart w:id="118" w:name="__RefHeading___Toc56258_880593128"/>
      <w:bookmarkEnd w:id="118"/>
      <w:r>
        <w:rPr/>
        <w:t>5. Atomic Changes Required</w:t>
      </w:r>
    </w:p>
    <w:p>
      <w:pPr>
        <w:pStyle w:val="BodyText"/>
        <w:rPr/>
      </w:pPr>
      <w:r>
        <w:rPr>
          <w:rStyle w:val="Strong"/>
        </w:rPr>
        <w:t>Change 1: Amend KAOMA#57(4)</w:t>
      </w:r>
    </w:p>
    <w:p>
      <w:pPr>
        <w:pStyle w:val="BodyText"/>
        <w:rPr/>
      </w:pPr>
      <w:r>
        <w:rPr>
          <w:rStyle w:val="Emphasis"/>
        </w:rPr>
        <w:t>Replace:</w:t>
      </w:r>
      <w:r>
        <w:rPr/>
        <w:br/>
        <w:t>"Service of summons or other legal process in any proceeding relating to the management of common areas and facilities may be effected upon the association.</w:t>
      </w:r>
    </w:p>
    <w:p>
      <w:pPr>
        <w:pStyle w:val="BodyText"/>
        <w:rPr/>
      </w:pPr>
      <w:r>
        <w:rPr/>
        <w:t>However, any proceeding that directly affects the right, title or interest of an individual apartment owner shall be instituted only against that owner personally, who shall be made a necessary party to the suit, and service of summons shall be effected directly upon such owner in the manner prescribed under the Code of Civil Procedure, 1908.</w:t>
      </w:r>
    </w:p>
    <w:p>
      <w:pPr>
        <w:pStyle w:val="BodyText"/>
        <w:rPr/>
      </w:pPr>
      <w:r>
        <w:rPr/>
        <w:t>The association may be joined as a co-party only where its management rights are also involved, but such joinder shall not relieve the court of the obligation to serve the individual owner directly."</w:t>
      </w:r>
    </w:p>
    <w:p>
      <w:pPr>
        <w:pStyle w:val="Heading3"/>
        <w:numPr>
          <w:ilvl w:val="2"/>
          <w:numId w:val="2"/>
        </w:numPr>
        <w:ind w:hanging="0" w:start="0"/>
        <w:rPr/>
      </w:pPr>
      <w:bookmarkStart w:id="119" w:name="__RefHeading___Toc56260_880593128"/>
      <w:bookmarkEnd w:id="119"/>
      <w:r>
        <w:rPr/>
        <w:t>6. Justification</w:t>
      </w:r>
    </w:p>
    <w:p>
      <w:pPr>
        <w:pStyle w:val="BodyText"/>
        <w:rPr/>
      </w:pPr>
      <w:r>
        <w:rPr/>
        <w:t>The Supreme Court has repeatedly held that a person whose title is affected must be personally impleaded and served with summons. Service on a third-party association, followed by "casual intimation," does not satisfy due process.</w:t>
      </w:r>
    </w:p>
    <w:p>
      <w:pPr>
        <w:pStyle w:val="BodyText"/>
        <w:rPr/>
      </w:pPr>
      <w:r>
        <w:rPr/>
        <w:t>The owner must have the opportunity to:</w:t>
      </w:r>
    </w:p>
    <w:p>
      <w:pPr>
        <w:pStyle w:val="BodyText"/>
        <w:numPr>
          <w:ilvl w:val="0"/>
          <w:numId w:val="40"/>
        </w:numPr>
        <w:rPr/>
      </w:pPr>
      <w:r>
        <w:rPr/>
        <w:t>Be heard</w:t>
      </w:r>
    </w:p>
    <w:p>
      <w:pPr>
        <w:pStyle w:val="BodyText"/>
        <w:numPr>
          <w:ilvl w:val="0"/>
          <w:numId w:val="40"/>
        </w:numPr>
        <w:rPr/>
      </w:pPr>
      <w:r>
        <w:rPr/>
        <w:t>Cross-examine witnesses</w:t>
      </w:r>
    </w:p>
    <w:p>
      <w:pPr>
        <w:pStyle w:val="BodyText"/>
        <w:numPr>
          <w:ilvl w:val="0"/>
          <w:numId w:val="40"/>
        </w:numPr>
        <w:rPr/>
      </w:pPr>
      <w:r>
        <w:rPr/>
        <w:t>Lead evidence</w:t>
      </w:r>
    </w:p>
    <w:p>
      <w:pPr>
        <w:pStyle w:val="BodyText"/>
        <w:numPr>
          <w:ilvl w:val="0"/>
          <w:numId w:val="40"/>
        </w:numPr>
        <w:rPr/>
      </w:pPr>
      <w:r>
        <w:rPr/>
        <w:t>Appeal in their own name</w:t>
      </w:r>
    </w:p>
    <w:p>
      <w:pPr>
        <w:pStyle w:val="BodyText"/>
        <w:rPr/>
      </w:pPr>
      <w:r>
        <w:rPr/>
        <w:t>If the Bill is enacted with #57(4) as drafted, this clause would be struck down by constitutional courts for violating due process and the right to property.</w:t>
      </w:r>
    </w:p>
    <w:p>
      <w:pPr>
        <w:pStyle w:val="HorizontalLine"/>
        <w:rPr/>
      </w:pPr>
      <w:r>
        <w:rPr/>
      </w:r>
    </w:p>
    <w:p>
      <w:pPr>
        <w:pStyle w:val="Heading2"/>
        <w:rPr/>
      </w:pPr>
      <w:bookmarkStart w:id="120" w:name="__RefHeading___Toc56262_880593128"/>
      <w:bookmarkEnd w:id="120"/>
      <w:r>
        <w:rPr/>
        <w:t>Appendix 18: Penalties for CA inaction</w:t>
      </w:r>
    </w:p>
    <w:p>
      <w:pPr>
        <w:pStyle w:val="Heading3"/>
        <w:numPr>
          <w:ilvl w:val="0"/>
          <w:numId w:val="2"/>
        </w:numPr>
        <w:ind w:hanging="0" w:start="0"/>
        <w:rPr/>
      </w:pPr>
      <w:bookmarkStart w:id="121" w:name="__RefHeading___Toc56264_880593128"/>
      <w:bookmarkEnd w:id="121"/>
      <w:r>
        <w:rPr/>
        <w:t>1. Problem Statement</w:t>
      </w:r>
    </w:p>
    <w:p>
      <w:pPr>
        <w:pStyle w:val="BodyText"/>
        <w:rPr/>
      </w:pPr>
      <w:r>
        <w:rPr/>
        <w:t>There is no penalty for CA inaction. The CA can ignore applications indefinitely. No consequence for inaction. No accountability. If CA ignores an application, there is no recourse except appeal (which requires an order to appeal against). No penalty for CA inaction.</w:t>
      </w:r>
    </w:p>
    <w:p>
      <w:pPr>
        <w:pStyle w:val="Heading3"/>
        <w:numPr>
          <w:ilvl w:val="2"/>
          <w:numId w:val="2"/>
        </w:numPr>
        <w:ind w:hanging="0" w:start="0"/>
        <w:rPr/>
      </w:pPr>
      <w:bookmarkStart w:id="122" w:name="__RefHeading___Toc56266_880593128"/>
      <w:bookmarkEnd w:id="122"/>
      <w:r>
        <w:rPr/>
        <w:t>2. Sections Involved</w:t>
      </w:r>
    </w:p>
    <w:p>
      <w:pPr>
        <w:pStyle w:val="BodyText"/>
        <w:numPr>
          <w:ilvl w:val="0"/>
          <w:numId w:val="41"/>
        </w:numPr>
        <w:rPr/>
      </w:pPr>
      <w:r>
        <w:rPr/>
        <w:t>KAOMA#61: Protection of Action Taken in Good Faith</w:t>
      </w:r>
    </w:p>
    <w:p>
      <w:pPr>
        <w:pStyle w:val="BodyText"/>
        <w:numPr>
          <w:ilvl w:val="0"/>
          <w:numId w:val="41"/>
        </w:numPr>
        <w:rPr/>
      </w:pPr>
      <w:r>
        <w:rPr/>
        <w:t>KAOMA#20(11): "may" pass orders (permissive)</w:t>
      </w:r>
    </w:p>
    <w:p>
      <w:pPr>
        <w:pStyle w:val="BodyText"/>
        <w:numPr>
          <w:ilvl w:val="0"/>
          <w:numId w:val="41"/>
        </w:numPr>
        <w:rPr/>
      </w:pPr>
      <w:r>
        <w:rPr/>
        <w:t>No provision for penalty for CA inaction</w:t>
      </w:r>
    </w:p>
    <w:p>
      <w:pPr>
        <w:pStyle w:val="Heading3"/>
        <w:numPr>
          <w:ilvl w:val="0"/>
          <w:numId w:val="0"/>
        </w:numPr>
        <w:ind w:hanging="0" w:start="0"/>
        <w:rPr/>
      </w:pPr>
      <w:bookmarkStart w:id="123" w:name="__RefHeading___Toc56268_880593128"/>
      <w:bookmarkEnd w:id="123"/>
      <w:r>
        <w:rPr/>
        <w:t>3. Causal Chain</w:t>
      </w:r>
    </w:p>
    <w:p>
      <w:pPr>
        <w:pStyle w:val="BodyText"/>
        <w:rPr/>
      </w:pPr>
      <w:r>
        <w:rPr/>
        <w:t>1.1: #20(11) uses "may" → CA can ignore applications.</w:t>
        <w:br/>
        <w:t>→ No consequence for inaction.</w:t>
      </w:r>
    </w:p>
    <w:p>
      <w:pPr>
        <w:pStyle w:val="BodyText"/>
        <w:rPr/>
      </w:pPr>
      <w:r>
        <w:rPr/>
        <w:t>1.2: No penalty for CA inaction.</w:t>
        <w:br/>
        <w:t>→ CA can ignore applications indefinitely.</w:t>
      </w:r>
    </w:p>
    <w:p>
      <w:pPr>
        <w:pStyle w:val="BodyText"/>
        <w:rPr/>
      </w:pPr>
      <w:r>
        <w:rPr/>
        <w:t>1.3: Applicant has no recourse → Need an order to appeal against.</w:t>
        <w:br/>
        <w:t>→ If CA ignores, no order. No appeal.</w:t>
      </w:r>
    </w:p>
    <w:p>
      <w:pPr>
        <w:pStyle w:val="BodyText"/>
        <w:rPr/>
      </w:pPr>
      <w:r>
        <w:rPr/>
        <w:t>1.4: No accountability → CA can be bypassed by inaction.</w:t>
        <w:br/>
        <w:t>→ System can be ignored.</w:t>
      </w:r>
    </w:p>
    <w:p>
      <w:pPr>
        <w:pStyle w:val="BodyText"/>
        <w:rPr/>
      </w:pPr>
      <w:r>
        <w:rPr>
          <w:rStyle w:val="Strong"/>
        </w:rPr>
        <w:t>Final Consequence:</w:t>
      </w:r>
      <w:r>
        <w:rPr/>
        <w:t xml:space="preserve"> CA can ignore applications. No consequence. No accountability. System can be ignored.</w:t>
      </w:r>
    </w:p>
    <w:p>
      <w:pPr>
        <w:pStyle w:val="Heading3"/>
        <w:numPr>
          <w:ilvl w:val="2"/>
          <w:numId w:val="2"/>
        </w:numPr>
        <w:ind w:hanging="0" w:start="0"/>
        <w:rPr/>
      </w:pPr>
      <w:bookmarkStart w:id="124" w:name="__RefHeading___Toc56270_880593128"/>
      <w:bookmarkEnd w:id="124"/>
      <w:r>
        <w:rPr/>
        <w:t>4. Atomic Changes Required</w:t>
      </w:r>
    </w:p>
    <w:p>
      <w:pPr>
        <w:pStyle w:val="BodyText"/>
        <w:rPr/>
      </w:pPr>
      <w:r>
        <w:rPr>
          <w:rStyle w:val="Strong"/>
        </w:rPr>
        <w:t>Change 1: Amend KAOMA#61</w:t>
      </w:r>
    </w:p>
    <w:p>
      <w:pPr>
        <w:pStyle w:val="BodyText"/>
        <w:rPr/>
      </w:pPr>
      <w:r>
        <w:rPr>
          <w:rStyle w:val="Emphasis"/>
        </w:rPr>
        <w:t>Add:</w:t>
      </w:r>
      <w:r>
        <w:rPr/>
        <w:br/>
        <w:t>"61. Liability for Failure to Perform Duties</w:t>
      </w:r>
    </w:p>
    <w:p>
      <w:pPr>
        <w:pStyle w:val="BodyText"/>
        <w:rPr/>
      </w:pPr>
      <w:r>
        <w:rPr/>
        <w:t>(1) Where the Competent Authority or any officer fails to perform duties imposed under this Act without reasonable cause, such failure shall constitute misconduct and shall be dealt with under the applicable service rules and the Bharatiya Nyaya Sanhita, 2023.</w:t>
      </w:r>
    </w:p>
    <w:p>
      <w:pPr>
        <w:pStyle w:val="BodyText"/>
        <w:rPr/>
      </w:pPr>
      <w:r>
        <w:rPr/>
        <w:t>(2) Any person aggrieved by the failure of the Competent Authority to act on an application within the prescribed time may approach the First Appellate Authority, which may direct the Competent Authority to act within a specified time and impose costs for unreasonable delay.</w:t>
      </w:r>
    </w:p>
    <w:p>
      <w:pPr>
        <w:pStyle w:val="BodyText"/>
        <w:rPr/>
      </w:pPr>
      <w:r>
        <w:rPr/>
        <w:t>(3) Where the Competent Authority fails to pass orders within 60 days of receipt of an application, the application shall be deemed rejected, and the applicant may appeal the deemed rejection to the First Appellate Authority."</w:t>
      </w:r>
    </w:p>
    <w:p>
      <w:pPr>
        <w:pStyle w:val="Heading3"/>
        <w:numPr>
          <w:ilvl w:val="2"/>
          <w:numId w:val="2"/>
        </w:numPr>
        <w:ind w:hanging="0" w:start="0"/>
        <w:rPr/>
      </w:pPr>
      <w:bookmarkStart w:id="125" w:name="__RefHeading___Toc56272_880593128"/>
      <w:bookmarkEnd w:id="125"/>
      <w:r>
        <w:rPr/>
        <w:t>5. Justification</w:t>
      </w:r>
    </w:p>
    <w:p>
      <w:pPr>
        <w:pStyle w:val="BodyText"/>
        <w:rPr/>
      </w:pPr>
      <w:r>
        <w:rPr/>
        <w:t>Without penalties for CA inaction, the CA can ignore applications indefinitely. There is no consequence. No accountability.</w:t>
      </w:r>
    </w:p>
    <w:p>
      <w:pPr>
        <w:pStyle w:val="BodyText"/>
        <w:rPr/>
      </w:pPr>
      <w:r>
        <w:rPr/>
        <w:t>The amendments create:</w:t>
      </w:r>
    </w:p>
    <w:p>
      <w:pPr>
        <w:pStyle w:val="BodyText"/>
        <w:numPr>
          <w:ilvl w:val="0"/>
          <w:numId w:val="42"/>
        </w:numPr>
        <w:rPr/>
      </w:pPr>
      <w:r>
        <w:rPr/>
        <w:t>Personal liability for CA who fail to perform duties (BNS 198)</w:t>
      </w:r>
    </w:p>
    <w:p>
      <w:pPr>
        <w:pStyle w:val="BodyText"/>
        <w:numPr>
          <w:ilvl w:val="0"/>
          <w:numId w:val="42"/>
        </w:numPr>
        <w:rPr/>
      </w:pPr>
      <w:r>
        <w:rPr/>
        <w:t>Right to approach First Appellate Authority for mandamus</w:t>
      </w:r>
    </w:p>
    <w:p>
      <w:pPr>
        <w:pStyle w:val="BodyText"/>
        <w:numPr>
          <w:ilvl w:val="0"/>
          <w:numId w:val="42"/>
        </w:numPr>
        <w:rPr/>
      </w:pPr>
      <w:r>
        <w:rPr/>
        <w:t>Deemed rejection after 60 days with right to appeal</w:t>
      </w:r>
    </w:p>
    <w:p>
      <w:pPr>
        <w:pStyle w:val="BodyText"/>
        <w:rPr/>
      </w:pPr>
      <w:r>
        <w:rPr/>
        <w:t>This ensures accountability and prevents bureaucratic inaction.</w:t>
      </w:r>
    </w:p>
    <w:p>
      <w:pPr>
        <w:pStyle w:val="HorizontalLine"/>
        <w:rPr/>
      </w:pPr>
      <w:r>
        <w:rPr/>
      </w:r>
    </w:p>
    <w:p>
      <w:pPr>
        <w:pStyle w:val="Heading2"/>
        <w:rPr/>
      </w:pPr>
      <w:bookmarkStart w:id="126" w:name="__RefHeading___Toc56274_880593128"/>
      <w:bookmarkEnd w:id="126"/>
      <w:r>
        <w:rPr/>
        <w:t>Appendix 19: Reordering of Chapter VI (bye-laws)</w:t>
      </w:r>
    </w:p>
    <w:p>
      <w:pPr>
        <w:pStyle w:val="Heading3"/>
        <w:numPr>
          <w:ilvl w:val="0"/>
          <w:numId w:val="2"/>
        </w:numPr>
        <w:ind w:hanging="0" w:start="0"/>
        <w:rPr/>
      </w:pPr>
      <w:bookmarkStart w:id="127" w:name="__RefHeading___Toc56276_880593128"/>
      <w:bookmarkEnd w:id="127"/>
      <w:r>
        <w:rPr/>
        <w:t>1. Problem Statement</w:t>
      </w:r>
    </w:p>
    <w:p>
      <w:pPr>
        <w:pStyle w:val="BodyText"/>
        <w:rPr/>
      </w:pPr>
      <w:r>
        <w:rPr/>
        <w:t>The existing Chapter VI (Sections 33-38) is illogically sequenced. The logical sequence must follow the lifecycle of bye-laws: drafting → content specification → guidance → approval → binding effect → enforcement → amendment → evolution.</w:t>
      </w:r>
    </w:p>
    <w:p>
      <w:pPr>
        <w:pStyle w:val="Heading3"/>
        <w:numPr>
          <w:ilvl w:val="2"/>
          <w:numId w:val="2"/>
        </w:numPr>
        <w:ind w:hanging="0" w:start="0"/>
        <w:rPr/>
      </w:pPr>
      <w:bookmarkStart w:id="128" w:name="__RefHeading___Toc56278_880593128"/>
      <w:bookmarkEnd w:id="128"/>
      <w:r>
        <w:rPr/>
        <w:t>2. Sections Involved</w:t>
      </w:r>
    </w:p>
    <w:p>
      <w:pPr>
        <w:pStyle w:val="BodyText"/>
        <w:numPr>
          <w:ilvl w:val="0"/>
          <w:numId w:val="43"/>
        </w:numPr>
        <w:rPr/>
      </w:pPr>
      <w:r>
        <w:rPr/>
        <w:t>KAOMA#33: Bye-laws of the association</w:t>
      </w:r>
    </w:p>
    <w:p>
      <w:pPr>
        <w:pStyle w:val="BodyText"/>
        <w:numPr>
          <w:ilvl w:val="0"/>
          <w:numId w:val="43"/>
        </w:numPr>
        <w:rPr/>
      </w:pPr>
      <w:r>
        <w:rPr/>
        <w:t>KAOMA#34: Submission and approval of bye-laws</w:t>
      </w:r>
    </w:p>
    <w:p>
      <w:pPr>
        <w:pStyle w:val="BodyText"/>
        <w:numPr>
          <w:ilvl w:val="0"/>
          <w:numId w:val="43"/>
        </w:numPr>
        <w:rPr/>
      </w:pPr>
      <w:r>
        <w:rPr/>
        <w:t>KAOMA#35: Amendment of bye-laws</w:t>
      </w:r>
    </w:p>
    <w:p>
      <w:pPr>
        <w:pStyle w:val="BodyText"/>
        <w:numPr>
          <w:ilvl w:val="0"/>
          <w:numId w:val="43"/>
        </w:numPr>
        <w:rPr/>
      </w:pPr>
      <w:r>
        <w:rPr/>
        <w:t>KAOMA#36: Contents of bye-laws</w:t>
      </w:r>
    </w:p>
    <w:p>
      <w:pPr>
        <w:pStyle w:val="BodyText"/>
        <w:numPr>
          <w:ilvl w:val="0"/>
          <w:numId w:val="43"/>
        </w:numPr>
        <w:rPr/>
      </w:pPr>
      <w:r>
        <w:rPr/>
        <w:t>KAOMA#37: Bye-laws to be binding</w:t>
      </w:r>
    </w:p>
    <w:p>
      <w:pPr>
        <w:pStyle w:val="BodyText"/>
        <w:numPr>
          <w:ilvl w:val="0"/>
          <w:numId w:val="43"/>
        </w:numPr>
        <w:rPr/>
      </w:pPr>
      <w:r>
        <w:rPr/>
        <w:t>KAOMA#38: Power of Government to make model bye-laws</w:t>
      </w:r>
    </w:p>
    <w:p>
      <w:pPr>
        <w:pStyle w:val="Heading3"/>
        <w:numPr>
          <w:ilvl w:val="0"/>
          <w:numId w:val="0"/>
        </w:numPr>
        <w:ind w:hanging="0" w:start="0"/>
        <w:rPr/>
      </w:pPr>
      <w:bookmarkStart w:id="129" w:name="__RefHeading___Toc56280_880593128"/>
      <w:bookmarkEnd w:id="129"/>
      <w:r>
        <w:rPr/>
        <w:t>3. Structural Defects</w:t>
      </w:r>
    </w:p>
    <w:tbl>
      <w:tblPr>
        <w:tblW w:w="10546" w:type="dxa"/>
        <w:jc w:val="start"/>
        <w:tblInd w:w="53" w:type="dxa"/>
        <w:tblLayout w:type="fixed"/>
        <w:tblCellMar>
          <w:top w:w="58" w:type="dxa"/>
          <w:start w:w="58" w:type="dxa"/>
          <w:bottom w:w="58" w:type="dxa"/>
          <w:end w:w="58" w:type="dxa"/>
        </w:tblCellMar>
      </w:tblPr>
      <w:tblGrid>
        <w:gridCol w:w="1908"/>
        <w:gridCol w:w="3941"/>
        <w:gridCol w:w="4697"/>
      </w:tblGrid>
      <w:tr>
        <w:trPr>
          <w:tblHeader w:val="true"/>
          <w:cantSplit/>
        </w:trPr>
        <w:tc>
          <w:tcPr>
            <w:tcW w:w="1908" w:type="dxa"/>
            <w:tcBorders>
              <w:top w:val="single" w:sz="4" w:space="0" w:color="000000"/>
              <w:start w:val="single" w:sz="4" w:space="0" w:color="000000"/>
              <w:bottom w:val="single" w:sz="4" w:space="0" w:color="000000"/>
            </w:tcBorders>
            <w:vAlign w:val="center"/>
          </w:tcPr>
          <w:p>
            <w:pPr>
              <w:pStyle w:val="TableHeading"/>
              <w:rPr/>
            </w:pPr>
            <w:r>
              <w:rPr/>
              <w:t>Defect</w:t>
            </w:r>
          </w:p>
        </w:tc>
        <w:tc>
          <w:tcPr>
            <w:tcW w:w="3941" w:type="dxa"/>
            <w:tcBorders>
              <w:top w:val="single" w:sz="4" w:space="0" w:color="000000"/>
              <w:start w:val="single" w:sz="4" w:space="0" w:color="000000"/>
              <w:bottom w:val="single" w:sz="4" w:space="0" w:color="000000"/>
            </w:tcBorders>
            <w:vAlign w:val="center"/>
          </w:tcPr>
          <w:p>
            <w:pPr>
              <w:pStyle w:val="TableHeading"/>
              <w:rPr/>
            </w:pPr>
            <w:r>
              <w:rPr/>
              <w:t>Current Position</w:t>
            </w:r>
          </w:p>
        </w:tc>
        <w:tc>
          <w:tcPr>
            <w:tcW w:w="4697" w:type="dxa"/>
            <w:tcBorders>
              <w:top w:val="single" w:sz="4" w:space="0" w:color="000000"/>
              <w:start w:val="single" w:sz="4" w:space="0" w:color="000000"/>
              <w:bottom w:val="single" w:sz="4" w:space="0" w:color="000000"/>
              <w:end w:val="single" w:sz="4" w:space="0" w:color="000000"/>
            </w:tcBorders>
            <w:vAlign w:val="center"/>
          </w:tcPr>
          <w:p>
            <w:pPr>
              <w:pStyle w:val="TableHeading"/>
              <w:rPr/>
            </w:pPr>
            <w:r>
              <w:rPr/>
              <w:t>Problem</w:t>
            </w:r>
          </w:p>
        </w:tc>
      </w:tr>
      <w:tr>
        <w:trPr>
          <w:cantSplit/>
        </w:trPr>
        <w:tc>
          <w:tcPr>
            <w:tcW w:w="1908" w:type="dxa"/>
            <w:tcBorders>
              <w:start w:val="single" w:sz="4" w:space="0" w:color="000000"/>
              <w:bottom w:val="single" w:sz="4" w:space="0" w:color="000000"/>
            </w:tcBorders>
            <w:vAlign w:val="center"/>
          </w:tcPr>
          <w:p>
            <w:pPr>
              <w:pStyle w:val="TableContents"/>
              <w:rPr/>
            </w:pPr>
            <w:r>
              <w:rPr/>
              <w:t>Submission trigger</w:t>
            </w:r>
          </w:p>
        </w:tc>
        <w:tc>
          <w:tcPr>
            <w:tcW w:w="3941" w:type="dxa"/>
            <w:tcBorders>
              <w:start w:val="single" w:sz="4" w:space="0" w:color="000000"/>
              <w:bottom w:val="single" w:sz="4" w:space="0" w:color="000000"/>
            </w:tcBorders>
            <w:vAlign w:val="center"/>
          </w:tcPr>
          <w:p>
            <w:pPr>
              <w:pStyle w:val="TableContents"/>
              <w:rPr/>
            </w:pPr>
            <w:r>
              <w:rPr/>
              <w:t>"prior to execution of conveyance deed" (2-5 years after booking)</w:t>
            </w:r>
          </w:p>
        </w:tc>
        <w:tc>
          <w:tcPr>
            <w:tcW w:w="4697" w:type="dxa"/>
            <w:tcBorders>
              <w:start w:val="single" w:sz="4" w:space="0" w:color="000000"/>
              <w:bottom w:val="single" w:sz="4" w:space="0" w:color="000000"/>
              <w:end w:val="single" w:sz="4" w:space="0" w:color="000000"/>
            </w:tcBorders>
            <w:vAlign w:val="center"/>
          </w:tcPr>
          <w:p>
            <w:pPr>
              <w:pStyle w:val="TableContents"/>
              <w:rPr/>
            </w:pPr>
            <w:r>
              <w:rPr/>
              <w:t>Too late. Bye-laws should be in place during construction, not after possession.</w:t>
            </w:r>
          </w:p>
        </w:tc>
      </w:tr>
      <w:tr>
        <w:trPr>
          <w:cantSplit/>
        </w:trPr>
        <w:tc>
          <w:tcPr>
            <w:tcW w:w="1908" w:type="dxa"/>
            <w:tcBorders>
              <w:start w:val="single" w:sz="4" w:space="0" w:color="000000"/>
              <w:bottom w:val="single" w:sz="4" w:space="0" w:color="000000"/>
            </w:tcBorders>
            <w:vAlign w:val="center"/>
          </w:tcPr>
          <w:p>
            <w:pPr>
              <w:pStyle w:val="TableContents"/>
              <w:rPr/>
            </w:pPr>
            <w:r>
              <w:rPr/>
              <w:t>CA power</w:t>
            </w:r>
          </w:p>
        </w:tc>
        <w:tc>
          <w:tcPr>
            <w:tcW w:w="3941" w:type="dxa"/>
            <w:tcBorders>
              <w:start w:val="single" w:sz="4" w:space="0" w:color="000000"/>
              <w:bottom w:val="single" w:sz="4" w:space="0" w:color="000000"/>
            </w:tcBorders>
            <w:vAlign w:val="center"/>
          </w:tcPr>
          <w:p>
            <w:pPr>
              <w:pStyle w:val="TableContents"/>
              <w:rPr/>
            </w:pPr>
            <w:r>
              <w:rPr/>
              <w:t>"upon application" only — not suo motu</w:t>
            </w:r>
          </w:p>
        </w:tc>
        <w:tc>
          <w:tcPr>
            <w:tcW w:w="4697" w:type="dxa"/>
            <w:tcBorders>
              <w:start w:val="single" w:sz="4" w:space="0" w:color="000000"/>
              <w:bottom w:val="single" w:sz="4" w:space="0" w:color="000000"/>
              <w:end w:val="single" w:sz="4" w:space="0" w:color="000000"/>
            </w:tcBorders>
            <w:vAlign w:val="center"/>
          </w:tcPr>
          <w:p>
            <w:pPr>
              <w:pStyle w:val="TableContents"/>
              <w:rPr/>
            </w:pPr>
            <w:r>
              <w:rPr/>
              <w:t>Creates passive, complaint-driven regime.</w:t>
            </w:r>
          </w:p>
        </w:tc>
      </w:tr>
      <w:tr>
        <w:trPr>
          <w:cantSplit/>
        </w:trPr>
        <w:tc>
          <w:tcPr>
            <w:tcW w:w="1908" w:type="dxa"/>
            <w:tcBorders>
              <w:start w:val="single" w:sz="4" w:space="0" w:color="000000"/>
              <w:bottom w:val="single" w:sz="4" w:space="0" w:color="000000"/>
            </w:tcBorders>
            <w:vAlign w:val="center"/>
          </w:tcPr>
          <w:p>
            <w:pPr>
              <w:pStyle w:val="TableContents"/>
              <w:rPr/>
            </w:pPr>
            <w:r>
              <w:rPr/>
              <w:t>Deemed approval</w:t>
            </w:r>
          </w:p>
        </w:tc>
        <w:tc>
          <w:tcPr>
            <w:tcW w:w="3941" w:type="dxa"/>
            <w:tcBorders>
              <w:start w:val="single" w:sz="4" w:space="0" w:color="000000"/>
              <w:bottom w:val="single" w:sz="4" w:space="0" w:color="000000"/>
            </w:tcBorders>
            <w:vAlign w:val="center"/>
          </w:tcPr>
          <w:p>
            <w:pPr>
              <w:pStyle w:val="TableContents"/>
              <w:rPr/>
            </w:pPr>
            <w:r>
              <w:rPr/>
              <w:t>If CA doesn't respond in 30 days</w:t>
            </w:r>
          </w:p>
        </w:tc>
        <w:tc>
          <w:tcPr>
            <w:tcW w:w="4697" w:type="dxa"/>
            <w:tcBorders>
              <w:start w:val="single" w:sz="4" w:space="0" w:color="000000"/>
              <w:bottom w:val="single" w:sz="4" w:space="0" w:color="000000"/>
              <w:end w:val="single" w:sz="4" w:space="0" w:color="000000"/>
            </w:tcBorders>
            <w:vAlign w:val="center"/>
          </w:tcPr>
          <w:p>
            <w:pPr>
              <w:pStyle w:val="TableContents"/>
              <w:rPr/>
            </w:pPr>
            <w:r>
              <w:rPr/>
              <w:t>CA can be bypassed by inaction.</w:t>
            </w:r>
          </w:p>
        </w:tc>
      </w:tr>
      <w:tr>
        <w:trPr>
          <w:cantSplit/>
        </w:trPr>
        <w:tc>
          <w:tcPr>
            <w:tcW w:w="1908" w:type="dxa"/>
            <w:tcBorders>
              <w:start w:val="single" w:sz="4" w:space="0" w:color="000000"/>
              <w:bottom w:val="single" w:sz="4" w:space="0" w:color="000000"/>
            </w:tcBorders>
            <w:vAlign w:val="center"/>
          </w:tcPr>
          <w:p>
            <w:pPr>
              <w:pStyle w:val="TableContents"/>
              <w:rPr/>
            </w:pPr>
            <w:r>
              <w:rPr/>
              <w:t>Penalty appeal</w:t>
            </w:r>
          </w:p>
        </w:tc>
        <w:tc>
          <w:tcPr>
            <w:tcW w:w="3941" w:type="dxa"/>
            <w:tcBorders>
              <w:start w:val="single" w:sz="4" w:space="0" w:color="000000"/>
              <w:bottom w:val="single" w:sz="4" w:space="0" w:color="000000"/>
            </w:tcBorders>
            <w:vAlign w:val="center"/>
          </w:tcPr>
          <w:p>
            <w:pPr>
              <w:pStyle w:val="TableContents"/>
              <w:rPr/>
            </w:pPr>
            <w:r>
              <w:rPr/>
              <w:t>Appeals to CA (not First Appellate Authority)</w:t>
            </w:r>
          </w:p>
        </w:tc>
        <w:tc>
          <w:tcPr>
            <w:tcW w:w="4697" w:type="dxa"/>
            <w:tcBorders>
              <w:start w:val="single" w:sz="4" w:space="0" w:color="000000"/>
              <w:bottom w:val="single" w:sz="4" w:space="0" w:color="000000"/>
              <w:end w:val="single" w:sz="4" w:space="0" w:color="000000"/>
            </w:tcBorders>
            <w:vAlign w:val="center"/>
          </w:tcPr>
          <w:p>
            <w:pPr>
              <w:pStyle w:val="TableContents"/>
              <w:rPr/>
            </w:pPr>
            <w:r>
              <w:rPr/>
              <w:t>Violates natural justice (nemo judex in causa sua).</w:t>
            </w:r>
          </w:p>
        </w:tc>
      </w:tr>
      <w:tr>
        <w:trPr>
          <w:cantSplit/>
        </w:trPr>
        <w:tc>
          <w:tcPr>
            <w:tcW w:w="1908" w:type="dxa"/>
            <w:tcBorders>
              <w:start w:val="single" w:sz="4" w:space="0" w:color="000000"/>
              <w:bottom w:val="single" w:sz="4" w:space="0" w:color="000000"/>
            </w:tcBorders>
            <w:vAlign w:val="center"/>
          </w:tcPr>
          <w:p>
            <w:pPr>
              <w:pStyle w:val="TableContents"/>
              <w:rPr/>
            </w:pPr>
            <w:r>
              <w:rPr/>
              <w:t>Model bye-laws updates</w:t>
            </w:r>
          </w:p>
        </w:tc>
        <w:tc>
          <w:tcPr>
            <w:tcW w:w="3941" w:type="dxa"/>
            <w:tcBorders>
              <w:start w:val="single" w:sz="4" w:space="0" w:color="000000"/>
              <w:bottom w:val="single" w:sz="4" w:space="0" w:color="000000"/>
            </w:tcBorders>
            <w:vAlign w:val="center"/>
          </w:tcPr>
          <w:p>
            <w:pPr>
              <w:pStyle w:val="TableContents"/>
              <w:rPr/>
            </w:pPr>
            <w:r>
              <w:rPr/>
              <w:t>No provision for updating existing projects</w:t>
            </w:r>
          </w:p>
        </w:tc>
        <w:tc>
          <w:tcPr>
            <w:tcW w:w="4697" w:type="dxa"/>
            <w:tcBorders>
              <w:start w:val="single" w:sz="4" w:space="0" w:color="000000"/>
              <w:bottom w:val="single" w:sz="4" w:space="0" w:color="000000"/>
              <w:end w:val="single" w:sz="4" w:space="0" w:color="000000"/>
            </w:tcBorders>
            <w:vAlign w:val="center"/>
          </w:tcPr>
          <w:p>
            <w:pPr>
              <w:pStyle w:val="TableContents"/>
              <w:rPr/>
            </w:pPr>
            <w:r>
              <w:rPr/>
              <w:t>System fragments into countless versions.</w:t>
            </w:r>
          </w:p>
        </w:tc>
      </w:tr>
      <w:tr>
        <w:trPr>
          <w:cantSplit/>
        </w:trPr>
        <w:tc>
          <w:tcPr>
            <w:tcW w:w="1908" w:type="dxa"/>
            <w:tcBorders>
              <w:start w:val="single" w:sz="4" w:space="0" w:color="000000"/>
              <w:bottom w:val="single" w:sz="4" w:space="0" w:color="000000"/>
            </w:tcBorders>
            <w:vAlign w:val="center"/>
          </w:tcPr>
          <w:p>
            <w:pPr>
              <w:pStyle w:val="TableContents"/>
              <w:rPr/>
            </w:pPr>
            <w:r>
              <w:rPr/>
              <w:t>Amendment</w:t>
            </w:r>
          </w:p>
        </w:tc>
        <w:tc>
          <w:tcPr>
            <w:tcW w:w="3941" w:type="dxa"/>
            <w:tcBorders>
              <w:start w:val="single" w:sz="4" w:space="0" w:color="000000"/>
              <w:bottom w:val="single" w:sz="4" w:space="0" w:color="000000"/>
            </w:tcBorders>
            <w:vAlign w:val="center"/>
          </w:tcPr>
          <w:p>
            <w:pPr>
              <w:pStyle w:val="TableContents"/>
              <w:rPr/>
            </w:pPr>
            <w:r>
              <w:rPr/>
              <w:t>Placed before submission/approval</w:t>
            </w:r>
          </w:p>
        </w:tc>
        <w:tc>
          <w:tcPr>
            <w:tcW w:w="4697" w:type="dxa"/>
            <w:tcBorders>
              <w:start w:val="single" w:sz="4" w:space="0" w:color="000000"/>
              <w:bottom w:val="single" w:sz="4" w:space="0" w:color="000000"/>
              <w:end w:val="single" w:sz="4" w:space="0" w:color="000000"/>
            </w:tcBorders>
            <w:vAlign w:val="center"/>
          </w:tcPr>
          <w:p>
            <w:pPr>
              <w:pStyle w:val="TableContents"/>
              <w:rPr/>
            </w:pPr>
            <w:r>
              <w:rPr/>
              <w:t>Illogical. Amendment should come after approval.</w:t>
            </w:r>
          </w:p>
        </w:tc>
      </w:tr>
    </w:tbl>
    <w:p>
      <w:pPr>
        <w:pStyle w:val="Heading3"/>
        <w:numPr>
          <w:ilvl w:val="2"/>
          <w:numId w:val="2"/>
        </w:numPr>
        <w:ind w:hanging="0" w:start="0"/>
        <w:rPr/>
      </w:pPr>
      <w:bookmarkStart w:id="130" w:name="__RefHeading___Toc56282_880593128"/>
      <w:bookmarkEnd w:id="130"/>
      <w:r>
        <w:rPr/>
        <w:t>4. Proposed Reordering</w:t>
      </w:r>
    </w:p>
    <w:tbl>
      <w:tblPr>
        <w:tblW w:w="10546" w:type="dxa"/>
        <w:jc w:val="start"/>
        <w:tblInd w:w="53" w:type="dxa"/>
        <w:tblLayout w:type="fixed"/>
        <w:tblCellMar>
          <w:top w:w="58" w:type="dxa"/>
          <w:start w:w="58" w:type="dxa"/>
          <w:bottom w:w="58" w:type="dxa"/>
          <w:end w:w="58" w:type="dxa"/>
        </w:tblCellMar>
      </w:tblPr>
      <w:tblGrid>
        <w:gridCol w:w="1239"/>
        <w:gridCol w:w="5020"/>
        <w:gridCol w:w="4287"/>
      </w:tblGrid>
      <w:tr>
        <w:trPr>
          <w:tblHeader w:val="true"/>
          <w:cantSplit/>
        </w:trPr>
        <w:tc>
          <w:tcPr>
            <w:tcW w:w="1239" w:type="dxa"/>
            <w:tcBorders>
              <w:top w:val="single" w:sz="4" w:space="0" w:color="000000"/>
              <w:start w:val="single" w:sz="4" w:space="0" w:color="000000"/>
              <w:bottom w:val="single" w:sz="4" w:space="0" w:color="000000"/>
            </w:tcBorders>
            <w:vAlign w:val="center"/>
          </w:tcPr>
          <w:p>
            <w:pPr>
              <w:pStyle w:val="TableHeading"/>
              <w:rPr/>
            </w:pPr>
            <w:r>
              <w:rPr/>
              <w:t>New Section</w:t>
            </w:r>
          </w:p>
        </w:tc>
        <w:tc>
          <w:tcPr>
            <w:tcW w:w="5020" w:type="dxa"/>
            <w:tcBorders>
              <w:top w:val="single" w:sz="4" w:space="0" w:color="000000"/>
              <w:start w:val="single" w:sz="4" w:space="0" w:color="000000"/>
              <w:bottom w:val="single" w:sz="4" w:space="0" w:color="000000"/>
            </w:tcBorders>
            <w:vAlign w:val="center"/>
          </w:tcPr>
          <w:p>
            <w:pPr>
              <w:pStyle w:val="TableHeading"/>
              <w:rPr/>
            </w:pPr>
            <w:r>
              <w:rPr/>
              <w:t>Title</w:t>
            </w:r>
          </w:p>
        </w:tc>
        <w:tc>
          <w:tcPr>
            <w:tcW w:w="4287" w:type="dxa"/>
            <w:tcBorders>
              <w:top w:val="single" w:sz="4" w:space="0" w:color="000000"/>
              <w:start w:val="single" w:sz="4" w:space="0" w:color="000000"/>
              <w:bottom w:val="single" w:sz="4" w:space="0" w:color="000000"/>
              <w:end w:val="single" w:sz="4" w:space="0" w:color="000000"/>
            </w:tcBorders>
            <w:vAlign w:val="center"/>
          </w:tcPr>
          <w:p>
            <w:pPr>
              <w:pStyle w:val="TableHeading"/>
              <w:rPr/>
            </w:pPr>
            <w:r>
              <w:rPr/>
              <w:t>Function</w:t>
            </w:r>
          </w:p>
        </w:tc>
      </w:tr>
      <w:tr>
        <w:trPr>
          <w:cantSplit/>
        </w:trPr>
        <w:tc>
          <w:tcPr>
            <w:tcW w:w="1239" w:type="dxa"/>
            <w:tcBorders>
              <w:start w:val="single" w:sz="4" w:space="0" w:color="000000"/>
              <w:bottom w:val="single" w:sz="4" w:space="0" w:color="000000"/>
            </w:tcBorders>
            <w:vAlign w:val="center"/>
          </w:tcPr>
          <w:p>
            <w:pPr>
              <w:pStyle w:val="TableContents"/>
              <w:rPr/>
            </w:pPr>
            <w:r>
              <w:rPr/>
              <w:t>33</w:t>
            </w:r>
          </w:p>
        </w:tc>
        <w:tc>
          <w:tcPr>
            <w:tcW w:w="5020" w:type="dxa"/>
            <w:tcBorders>
              <w:start w:val="single" w:sz="4" w:space="0" w:color="000000"/>
              <w:bottom w:val="single" w:sz="4" w:space="0" w:color="000000"/>
            </w:tcBorders>
            <w:vAlign w:val="center"/>
          </w:tcPr>
          <w:p>
            <w:pPr>
              <w:pStyle w:val="TableContents"/>
              <w:rPr/>
            </w:pPr>
            <w:r>
              <w:rPr/>
              <w:t>Bye-laws of the Association</w:t>
            </w:r>
          </w:p>
        </w:tc>
        <w:tc>
          <w:tcPr>
            <w:tcW w:w="4287" w:type="dxa"/>
            <w:tcBorders>
              <w:start w:val="single" w:sz="4" w:space="0" w:color="000000"/>
              <w:bottom w:val="single" w:sz="4" w:space="0" w:color="000000"/>
              <w:end w:val="single" w:sz="4" w:space="0" w:color="000000"/>
            </w:tcBorders>
            <w:vAlign w:val="center"/>
          </w:tcPr>
          <w:p>
            <w:pPr>
              <w:pStyle w:val="TableContents"/>
              <w:rPr/>
            </w:pPr>
            <w:r>
              <w:rPr/>
              <w:t>Who drafts, at what stage, with what majority</w:t>
            </w:r>
          </w:p>
        </w:tc>
      </w:tr>
      <w:tr>
        <w:trPr>
          <w:cantSplit/>
        </w:trPr>
        <w:tc>
          <w:tcPr>
            <w:tcW w:w="1239" w:type="dxa"/>
            <w:tcBorders>
              <w:start w:val="single" w:sz="4" w:space="0" w:color="000000"/>
              <w:bottom w:val="single" w:sz="4" w:space="0" w:color="000000"/>
            </w:tcBorders>
            <w:vAlign w:val="center"/>
          </w:tcPr>
          <w:p>
            <w:pPr>
              <w:pStyle w:val="TableContents"/>
              <w:rPr/>
            </w:pPr>
            <w:r>
              <w:rPr/>
              <w:t>34</w:t>
            </w:r>
          </w:p>
        </w:tc>
        <w:tc>
          <w:tcPr>
            <w:tcW w:w="5020" w:type="dxa"/>
            <w:tcBorders>
              <w:start w:val="single" w:sz="4" w:space="0" w:color="000000"/>
              <w:bottom w:val="single" w:sz="4" w:space="0" w:color="000000"/>
            </w:tcBorders>
            <w:vAlign w:val="center"/>
          </w:tcPr>
          <w:p>
            <w:pPr>
              <w:pStyle w:val="TableContents"/>
              <w:rPr/>
            </w:pPr>
            <w:r>
              <w:rPr/>
              <w:t>Matters to be provided for in the Bye-laws</w:t>
            </w:r>
          </w:p>
        </w:tc>
        <w:tc>
          <w:tcPr>
            <w:tcW w:w="4287" w:type="dxa"/>
            <w:tcBorders>
              <w:start w:val="single" w:sz="4" w:space="0" w:color="000000"/>
              <w:bottom w:val="single" w:sz="4" w:space="0" w:color="000000"/>
              <w:end w:val="single" w:sz="4" w:space="0" w:color="000000"/>
            </w:tcBorders>
            <w:vAlign w:val="center"/>
          </w:tcPr>
          <w:p>
            <w:pPr>
              <w:pStyle w:val="TableContents"/>
              <w:rPr/>
            </w:pPr>
            <w:r>
              <w:rPr/>
              <w:t>Mandatory framework (Act-level) — "the skeleton"</w:t>
            </w:r>
          </w:p>
        </w:tc>
      </w:tr>
      <w:tr>
        <w:trPr>
          <w:cantSplit/>
        </w:trPr>
        <w:tc>
          <w:tcPr>
            <w:tcW w:w="1239" w:type="dxa"/>
            <w:tcBorders>
              <w:start w:val="single" w:sz="4" w:space="0" w:color="000000"/>
              <w:bottom w:val="single" w:sz="4" w:space="0" w:color="000000"/>
            </w:tcBorders>
            <w:vAlign w:val="center"/>
          </w:tcPr>
          <w:p>
            <w:pPr>
              <w:pStyle w:val="TableContents"/>
              <w:rPr/>
            </w:pPr>
            <w:r>
              <w:rPr/>
              <w:t>35</w:t>
            </w:r>
          </w:p>
        </w:tc>
        <w:tc>
          <w:tcPr>
            <w:tcW w:w="5020" w:type="dxa"/>
            <w:tcBorders>
              <w:start w:val="single" w:sz="4" w:space="0" w:color="000000"/>
              <w:bottom w:val="single" w:sz="4" w:space="0" w:color="000000"/>
            </w:tcBorders>
            <w:vAlign w:val="center"/>
          </w:tcPr>
          <w:p>
            <w:pPr>
              <w:pStyle w:val="TableContents"/>
              <w:rPr/>
            </w:pPr>
            <w:r>
              <w:rPr/>
              <w:t>Power of Government to make Model Bye-laws</w:t>
            </w:r>
          </w:p>
        </w:tc>
        <w:tc>
          <w:tcPr>
            <w:tcW w:w="4287" w:type="dxa"/>
            <w:tcBorders>
              <w:start w:val="single" w:sz="4" w:space="0" w:color="000000"/>
              <w:bottom w:val="single" w:sz="4" w:space="0" w:color="000000"/>
              <w:end w:val="single" w:sz="4" w:space="0" w:color="000000"/>
            </w:tcBorders>
            <w:vAlign w:val="center"/>
          </w:tcPr>
          <w:p>
            <w:pPr>
              <w:pStyle w:val="TableContents"/>
              <w:rPr/>
            </w:pPr>
            <w:r>
              <w:rPr/>
              <w:t>Guidance template (updated periodically)</w:t>
            </w:r>
          </w:p>
        </w:tc>
      </w:tr>
      <w:tr>
        <w:trPr>
          <w:cantSplit/>
        </w:trPr>
        <w:tc>
          <w:tcPr>
            <w:tcW w:w="1239" w:type="dxa"/>
            <w:tcBorders>
              <w:start w:val="single" w:sz="4" w:space="0" w:color="000000"/>
              <w:bottom w:val="single" w:sz="4" w:space="0" w:color="000000"/>
            </w:tcBorders>
            <w:vAlign w:val="center"/>
          </w:tcPr>
          <w:p>
            <w:pPr>
              <w:pStyle w:val="TableContents"/>
              <w:rPr/>
            </w:pPr>
            <w:r>
              <w:rPr/>
              <w:t>36</w:t>
            </w:r>
          </w:p>
        </w:tc>
        <w:tc>
          <w:tcPr>
            <w:tcW w:w="5020" w:type="dxa"/>
            <w:tcBorders>
              <w:start w:val="single" w:sz="4" w:space="0" w:color="000000"/>
              <w:bottom w:val="single" w:sz="4" w:space="0" w:color="000000"/>
            </w:tcBorders>
            <w:vAlign w:val="center"/>
          </w:tcPr>
          <w:p>
            <w:pPr>
              <w:pStyle w:val="TableContents"/>
              <w:rPr/>
            </w:pPr>
            <w:r>
              <w:rPr/>
              <w:t>Submission and Approval of Bye-laws</w:t>
            </w:r>
          </w:p>
        </w:tc>
        <w:tc>
          <w:tcPr>
            <w:tcW w:w="4287" w:type="dxa"/>
            <w:tcBorders>
              <w:start w:val="single" w:sz="4" w:space="0" w:color="000000"/>
              <w:bottom w:val="single" w:sz="4" w:space="0" w:color="000000"/>
              <w:end w:val="single" w:sz="4" w:space="0" w:color="000000"/>
            </w:tcBorders>
            <w:vAlign w:val="center"/>
          </w:tcPr>
          <w:p>
            <w:pPr>
              <w:pStyle w:val="TableContents"/>
              <w:rPr/>
            </w:pPr>
            <w:r>
              <w:rPr/>
              <w:t>Procedural gateway — approval BEFORE registration</w:t>
            </w:r>
          </w:p>
        </w:tc>
      </w:tr>
      <w:tr>
        <w:trPr>
          <w:cantSplit/>
        </w:trPr>
        <w:tc>
          <w:tcPr>
            <w:tcW w:w="1239" w:type="dxa"/>
            <w:tcBorders>
              <w:start w:val="single" w:sz="4" w:space="0" w:color="000000"/>
              <w:bottom w:val="single" w:sz="4" w:space="0" w:color="000000"/>
            </w:tcBorders>
            <w:vAlign w:val="center"/>
          </w:tcPr>
          <w:p>
            <w:pPr>
              <w:pStyle w:val="TableContents"/>
              <w:rPr/>
            </w:pPr>
            <w:r>
              <w:rPr/>
              <w:t>37</w:t>
            </w:r>
          </w:p>
        </w:tc>
        <w:tc>
          <w:tcPr>
            <w:tcW w:w="5020" w:type="dxa"/>
            <w:tcBorders>
              <w:start w:val="single" w:sz="4" w:space="0" w:color="000000"/>
              <w:bottom w:val="single" w:sz="4" w:space="0" w:color="000000"/>
            </w:tcBorders>
            <w:vAlign w:val="center"/>
          </w:tcPr>
          <w:p>
            <w:pPr>
              <w:pStyle w:val="TableContents"/>
              <w:rPr/>
            </w:pPr>
            <w:r>
              <w:rPr/>
              <w:t>Bye-laws to be Binding</w:t>
            </w:r>
          </w:p>
        </w:tc>
        <w:tc>
          <w:tcPr>
            <w:tcW w:w="4287" w:type="dxa"/>
            <w:tcBorders>
              <w:start w:val="single" w:sz="4" w:space="0" w:color="000000"/>
              <w:bottom w:val="single" w:sz="4" w:space="0" w:color="000000"/>
              <w:end w:val="single" w:sz="4" w:space="0" w:color="000000"/>
            </w:tcBorders>
            <w:vAlign w:val="center"/>
          </w:tcPr>
          <w:p>
            <w:pPr>
              <w:pStyle w:val="TableContents"/>
              <w:rPr/>
            </w:pPr>
            <w:r>
              <w:rPr/>
              <w:t>Legal status — who is bound</w:t>
            </w:r>
          </w:p>
        </w:tc>
      </w:tr>
      <w:tr>
        <w:trPr>
          <w:cantSplit/>
        </w:trPr>
        <w:tc>
          <w:tcPr>
            <w:tcW w:w="1239" w:type="dxa"/>
            <w:tcBorders>
              <w:start w:val="single" w:sz="4" w:space="0" w:color="000000"/>
              <w:bottom w:val="single" w:sz="4" w:space="0" w:color="000000"/>
            </w:tcBorders>
            <w:vAlign w:val="center"/>
          </w:tcPr>
          <w:p>
            <w:pPr>
              <w:pStyle w:val="TableContents"/>
              <w:rPr/>
            </w:pPr>
            <w:r>
              <w:rPr/>
              <w:t>38</w:t>
            </w:r>
          </w:p>
        </w:tc>
        <w:tc>
          <w:tcPr>
            <w:tcW w:w="5020" w:type="dxa"/>
            <w:tcBorders>
              <w:start w:val="single" w:sz="4" w:space="0" w:color="000000"/>
              <w:bottom w:val="single" w:sz="4" w:space="0" w:color="000000"/>
            </w:tcBorders>
            <w:vAlign w:val="center"/>
          </w:tcPr>
          <w:p>
            <w:pPr>
              <w:pStyle w:val="TableContents"/>
              <w:rPr/>
            </w:pPr>
            <w:r>
              <w:rPr/>
              <w:t>Penalties for Breach of Bye-laws</w:t>
            </w:r>
          </w:p>
        </w:tc>
        <w:tc>
          <w:tcPr>
            <w:tcW w:w="4287" w:type="dxa"/>
            <w:tcBorders>
              <w:start w:val="single" w:sz="4" w:space="0" w:color="000000"/>
              <w:bottom w:val="single" w:sz="4" w:space="0" w:color="000000"/>
              <w:end w:val="single" w:sz="4" w:space="0" w:color="000000"/>
            </w:tcBorders>
            <w:vAlign w:val="center"/>
          </w:tcPr>
          <w:p>
            <w:pPr>
              <w:pStyle w:val="TableContents"/>
              <w:rPr/>
            </w:pPr>
            <w:r>
              <w:rPr/>
              <w:t>Enforcement — appeal to First Appellate Authority</w:t>
            </w:r>
          </w:p>
        </w:tc>
      </w:tr>
      <w:tr>
        <w:trPr>
          <w:cantSplit/>
        </w:trPr>
        <w:tc>
          <w:tcPr>
            <w:tcW w:w="1239" w:type="dxa"/>
            <w:tcBorders>
              <w:start w:val="single" w:sz="4" w:space="0" w:color="000000"/>
              <w:bottom w:val="single" w:sz="4" w:space="0" w:color="000000"/>
            </w:tcBorders>
            <w:vAlign w:val="center"/>
          </w:tcPr>
          <w:p>
            <w:pPr>
              <w:pStyle w:val="TableContents"/>
              <w:rPr/>
            </w:pPr>
            <w:r>
              <w:rPr/>
              <w:t>39</w:t>
            </w:r>
          </w:p>
        </w:tc>
        <w:tc>
          <w:tcPr>
            <w:tcW w:w="5020" w:type="dxa"/>
            <w:tcBorders>
              <w:start w:val="single" w:sz="4" w:space="0" w:color="000000"/>
              <w:bottom w:val="single" w:sz="4" w:space="0" w:color="000000"/>
            </w:tcBorders>
            <w:vAlign w:val="center"/>
          </w:tcPr>
          <w:p>
            <w:pPr>
              <w:pStyle w:val="TableContents"/>
              <w:rPr/>
            </w:pPr>
            <w:r>
              <w:rPr/>
              <w:t>Amendment of Bye-laws</w:t>
            </w:r>
          </w:p>
        </w:tc>
        <w:tc>
          <w:tcPr>
            <w:tcW w:w="4287" w:type="dxa"/>
            <w:tcBorders>
              <w:start w:val="single" w:sz="4" w:space="0" w:color="000000"/>
              <w:bottom w:val="single" w:sz="4" w:space="0" w:color="000000"/>
              <w:end w:val="single" w:sz="4" w:space="0" w:color="000000"/>
            </w:tcBorders>
            <w:vAlign w:val="center"/>
          </w:tcPr>
          <w:p>
            <w:pPr>
              <w:pStyle w:val="TableContents"/>
              <w:rPr/>
            </w:pPr>
            <w:r>
              <w:rPr/>
              <w:t>Future alterations — placed last</w:t>
            </w:r>
          </w:p>
        </w:tc>
      </w:tr>
      <w:tr>
        <w:trPr>
          <w:cantSplit/>
        </w:trPr>
        <w:tc>
          <w:tcPr>
            <w:tcW w:w="1239" w:type="dxa"/>
            <w:tcBorders>
              <w:start w:val="single" w:sz="4" w:space="0" w:color="000000"/>
              <w:bottom w:val="single" w:sz="4" w:space="0" w:color="000000"/>
            </w:tcBorders>
            <w:vAlign w:val="center"/>
          </w:tcPr>
          <w:p>
            <w:pPr>
              <w:pStyle w:val="TableContents"/>
              <w:rPr/>
            </w:pPr>
            <w:r>
              <w:rPr/>
              <w:t>39A</w:t>
            </w:r>
          </w:p>
        </w:tc>
        <w:tc>
          <w:tcPr>
            <w:tcW w:w="5020" w:type="dxa"/>
            <w:tcBorders>
              <w:start w:val="single" w:sz="4" w:space="0" w:color="000000"/>
              <w:bottom w:val="single" w:sz="4" w:space="0" w:color="000000"/>
            </w:tcBorders>
            <w:vAlign w:val="center"/>
          </w:tcPr>
          <w:p>
            <w:pPr>
              <w:pStyle w:val="TableContents"/>
              <w:rPr/>
            </w:pPr>
            <w:r>
              <w:rPr/>
              <w:t>Application of Updated Model Bye-laws to Existing Associations</w:t>
            </w:r>
          </w:p>
        </w:tc>
        <w:tc>
          <w:tcPr>
            <w:tcW w:w="4287" w:type="dxa"/>
            <w:tcBorders>
              <w:start w:val="single" w:sz="4" w:space="0" w:color="000000"/>
              <w:bottom w:val="single" w:sz="4" w:space="0" w:color="000000"/>
              <w:end w:val="single" w:sz="4" w:space="0" w:color="000000"/>
            </w:tcBorders>
            <w:vAlign w:val="center"/>
          </w:tcPr>
          <w:p>
            <w:pPr>
              <w:pStyle w:val="TableContents"/>
              <w:rPr/>
            </w:pPr>
            <w:r>
              <w:rPr/>
              <w:t>NEW — ensures uniformity across all projects</w:t>
            </w:r>
          </w:p>
        </w:tc>
      </w:tr>
    </w:tbl>
    <w:p>
      <w:pPr>
        <w:pStyle w:val="Heading3"/>
        <w:numPr>
          <w:ilvl w:val="2"/>
          <w:numId w:val="2"/>
        </w:numPr>
        <w:ind w:hanging="0" w:start="0"/>
        <w:rPr/>
      </w:pPr>
      <w:bookmarkStart w:id="131" w:name="__RefHeading___Toc56284_880593128"/>
      <w:bookmarkEnd w:id="131"/>
      <w:r>
        <w:rPr/>
        <w:t>5. Key Changes Embedded in This Reordering</w:t>
      </w:r>
    </w:p>
    <w:tbl>
      <w:tblPr>
        <w:tblW w:w="10546" w:type="dxa"/>
        <w:jc w:val="start"/>
        <w:tblInd w:w="53" w:type="dxa"/>
        <w:tblLayout w:type="fixed"/>
        <w:tblCellMar>
          <w:top w:w="58" w:type="dxa"/>
          <w:start w:w="58" w:type="dxa"/>
          <w:bottom w:w="58" w:type="dxa"/>
          <w:end w:w="58" w:type="dxa"/>
        </w:tblCellMar>
      </w:tblPr>
      <w:tblGrid>
        <w:gridCol w:w="3170"/>
        <w:gridCol w:w="3880"/>
        <w:gridCol w:w="3496"/>
      </w:tblGrid>
      <w:tr>
        <w:trPr>
          <w:tblHeader w:val="true"/>
          <w:cantSplit/>
        </w:trPr>
        <w:tc>
          <w:tcPr>
            <w:tcW w:w="3170" w:type="dxa"/>
            <w:tcBorders>
              <w:top w:val="single" w:sz="4" w:space="0" w:color="000000"/>
              <w:start w:val="single" w:sz="4" w:space="0" w:color="000000"/>
              <w:bottom w:val="single" w:sz="4" w:space="0" w:color="000000"/>
            </w:tcBorders>
            <w:vAlign w:val="center"/>
          </w:tcPr>
          <w:p>
            <w:pPr>
              <w:pStyle w:val="TableHeading"/>
              <w:rPr/>
            </w:pPr>
            <w:r>
              <w:rPr/>
              <w:t>Change</w:t>
            </w:r>
          </w:p>
        </w:tc>
        <w:tc>
          <w:tcPr>
            <w:tcW w:w="3880" w:type="dxa"/>
            <w:tcBorders>
              <w:top w:val="single" w:sz="4" w:space="0" w:color="000000"/>
              <w:start w:val="single" w:sz="4" w:space="0" w:color="000000"/>
              <w:bottom w:val="single" w:sz="4" w:space="0" w:color="000000"/>
            </w:tcBorders>
            <w:vAlign w:val="center"/>
          </w:tcPr>
          <w:p>
            <w:pPr>
              <w:pStyle w:val="TableHeading"/>
              <w:rPr/>
            </w:pPr>
            <w:r>
              <w:rPr/>
              <w:t>Old Position</w:t>
            </w:r>
          </w:p>
        </w:tc>
        <w:tc>
          <w:tcPr>
            <w:tcW w:w="3496" w:type="dxa"/>
            <w:tcBorders>
              <w:top w:val="single" w:sz="4" w:space="0" w:color="000000"/>
              <w:start w:val="single" w:sz="4" w:space="0" w:color="000000"/>
              <w:bottom w:val="single" w:sz="4" w:space="0" w:color="000000"/>
              <w:end w:val="single" w:sz="4" w:space="0" w:color="000000"/>
            </w:tcBorders>
            <w:vAlign w:val="center"/>
          </w:tcPr>
          <w:p>
            <w:pPr>
              <w:pStyle w:val="TableHeading"/>
              <w:rPr/>
            </w:pPr>
            <w:r>
              <w:rPr/>
              <w:t>New Position</w:t>
            </w:r>
          </w:p>
        </w:tc>
      </w:tr>
      <w:tr>
        <w:trPr>
          <w:cantSplit/>
        </w:trPr>
        <w:tc>
          <w:tcPr>
            <w:tcW w:w="3170" w:type="dxa"/>
            <w:tcBorders>
              <w:start w:val="single" w:sz="4" w:space="0" w:color="000000"/>
              <w:bottom w:val="single" w:sz="4" w:space="0" w:color="000000"/>
            </w:tcBorders>
            <w:vAlign w:val="center"/>
          </w:tcPr>
          <w:p>
            <w:pPr>
              <w:pStyle w:val="TableContents"/>
              <w:rPr/>
            </w:pPr>
            <w:r>
              <w:rPr/>
              <w:t>Submission trigger</w:t>
            </w:r>
          </w:p>
        </w:tc>
        <w:tc>
          <w:tcPr>
            <w:tcW w:w="3880" w:type="dxa"/>
            <w:tcBorders>
              <w:start w:val="single" w:sz="4" w:space="0" w:color="000000"/>
              <w:bottom w:val="single" w:sz="4" w:space="0" w:color="000000"/>
            </w:tcBorders>
            <w:vAlign w:val="center"/>
          </w:tcPr>
          <w:p>
            <w:pPr>
              <w:pStyle w:val="TableContents"/>
              <w:rPr/>
            </w:pPr>
            <w:r>
              <w:rPr/>
              <w:t>"execution of conveyance deed" (2-5 years after booking) → Section 34(1)</w:t>
            </w:r>
          </w:p>
        </w:tc>
        <w:tc>
          <w:tcPr>
            <w:tcW w:w="3496" w:type="dxa"/>
            <w:tcBorders>
              <w:start w:val="single" w:sz="4" w:space="0" w:color="000000"/>
              <w:bottom w:val="single" w:sz="4" w:space="0" w:color="000000"/>
              <w:end w:val="single" w:sz="4" w:space="0" w:color="000000"/>
            </w:tcBorders>
            <w:vAlign w:val="center"/>
          </w:tcPr>
          <w:p>
            <w:pPr>
              <w:pStyle w:val="TableContents"/>
              <w:rPr/>
            </w:pPr>
            <w:r>
              <w:rPr/>
              <w:t>"formation of association" (majority allotment) → Section 36(1)</w:t>
            </w:r>
          </w:p>
        </w:tc>
      </w:tr>
      <w:tr>
        <w:trPr>
          <w:cantSplit/>
        </w:trPr>
        <w:tc>
          <w:tcPr>
            <w:tcW w:w="3170" w:type="dxa"/>
            <w:tcBorders>
              <w:start w:val="single" w:sz="4" w:space="0" w:color="000000"/>
              <w:bottom w:val="single" w:sz="4" w:space="0" w:color="000000"/>
            </w:tcBorders>
            <w:vAlign w:val="center"/>
          </w:tcPr>
          <w:p>
            <w:pPr>
              <w:pStyle w:val="TableContents"/>
              <w:rPr/>
            </w:pPr>
            <w:r>
              <w:rPr/>
              <w:t>CA can declare model bye-laws suo motu</w:t>
            </w:r>
          </w:p>
        </w:tc>
        <w:tc>
          <w:tcPr>
            <w:tcW w:w="3880" w:type="dxa"/>
            <w:tcBorders>
              <w:start w:val="single" w:sz="4" w:space="0" w:color="000000"/>
              <w:bottom w:val="single" w:sz="4" w:space="0" w:color="000000"/>
            </w:tcBorders>
            <w:vAlign w:val="center"/>
          </w:tcPr>
          <w:p>
            <w:pPr>
              <w:pStyle w:val="TableContents"/>
              <w:rPr/>
            </w:pPr>
            <w:r>
              <w:rPr/>
              <w:t>Not allowed → Section 34(1) proviso</w:t>
            </w:r>
          </w:p>
        </w:tc>
        <w:tc>
          <w:tcPr>
            <w:tcW w:w="3496" w:type="dxa"/>
            <w:tcBorders>
              <w:start w:val="single" w:sz="4" w:space="0" w:color="000000"/>
              <w:bottom w:val="single" w:sz="4" w:space="0" w:color="000000"/>
              <w:end w:val="single" w:sz="4" w:space="0" w:color="000000"/>
            </w:tcBorders>
            <w:vAlign w:val="center"/>
          </w:tcPr>
          <w:p>
            <w:pPr>
              <w:pStyle w:val="TableContents"/>
              <w:rPr/>
            </w:pPr>
            <w:r>
              <w:rPr/>
              <w:t>Allowed → Section 36(2) proviso</w:t>
            </w:r>
          </w:p>
        </w:tc>
      </w:tr>
      <w:tr>
        <w:trPr>
          <w:cantSplit/>
        </w:trPr>
        <w:tc>
          <w:tcPr>
            <w:tcW w:w="3170" w:type="dxa"/>
            <w:tcBorders>
              <w:start w:val="single" w:sz="4" w:space="0" w:color="000000"/>
              <w:bottom w:val="single" w:sz="4" w:space="0" w:color="000000"/>
            </w:tcBorders>
            <w:vAlign w:val="center"/>
          </w:tcPr>
          <w:p>
            <w:pPr>
              <w:pStyle w:val="TableContents"/>
              <w:rPr/>
            </w:pPr>
            <w:r>
              <w:rPr/>
              <w:t>Deemed approval for bye-laws</w:t>
            </w:r>
          </w:p>
        </w:tc>
        <w:tc>
          <w:tcPr>
            <w:tcW w:w="3880" w:type="dxa"/>
            <w:tcBorders>
              <w:start w:val="single" w:sz="4" w:space="0" w:color="000000"/>
              <w:bottom w:val="single" w:sz="4" w:space="0" w:color="000000"/>
            </w:tcBorders>
            <w:vAlign w:val="center"/>
          </w:tcPr>
          <w:p>
            <w:pPr>
              <w:pStyle w:val="TableContents"/>
              <w:rPr/>
            </w:pPr>
            <w:r>
              <w:rPr/>
              <w:t>Section 34(2) proviso</w:t>
            </w:r>
          </w:p>
        </w:tc>
        <w:tc>
          <w:tcPr>
            <w:tcW w:w="3496" w:type="dxa"/>
            <w:tcBorders>
              <w:start w:val="single" w:sz="4" w:space="0" w:color="000000"/>
              <w:bottom w:val="single" w:sz="4" w:space="0" w:color="000000"/>
              <w:end w:val="single" w:sz="4" w:space="0" w:color="000000"/>
            </w:tcBorders>
            <w:vAlign w:val="center"/>
          </w:tcPr>
          <w:p>
            <w:pPr>
              <w:pStyle w:val="TableContents"/>
              <w:rPr/>
            </w:pPr>
            <w:r>
              <w:rPr/>
              <w:t>Removed entirely</w:t>
            </w:r>
          </w:p>
        </w:tc>
      </w:tr>
      <w:tr>
        <w:trPr>
          <w:cantSplit/>
        </w:trPr>
        <w:tc>
          <w:tcPr>
            <w:tcW w:w="3170" w:type="dxa"/>
            <w:tcBorders>
              <w:start w:val="single" w:sz="4" w:space="0" w:color="000000"/>
              <w:bottom w:val="single" w:sz="4" w:space="0" w:color="000000"/>
            </w:tcBorders>
            <w:vAlign w:val="center"/>
          </w:tcPr>
          <w:p>
            <w:pPr>
              <w:pStyle w:val="TableContents"/>
              <w:rPr/>
            </w:pPr>
            <w:r>
              <w:rPr/>
              <w:t>Penalty appeal</w:t>
            </w:r>
          </w:p>
        </w:tc>
        <w:tc>
          <w:tcPr>
            <w:tcW w:w="3880" w:type="dxa"/>
            <w:tcBorders>
              <w:start w:val="single" w:sz="4" w:space="0" w:color="000000"/>
              <w:bottom w:val="single" w:sz="4" w:space="0" w:color="000000"/>
            </w:tcBorders>
            <w:vAlign w:val="center"/>
          </w:tcPr>
          <w:p>
            <w:pPr>
              <w:pStyle w:val="TableContents"/>
              <w:rPr/>
            </w:pPr>
            <w:r>
              <w:rPr/>
              <w:t>To CA → Section 37(2) proviso</w:t>
            </w:r>
          </w:p>
        </w:tc>
        <w:tc>
          <w:tcPr>
            <w:tcW w:w="3496" w:type="dxa"/>
            <w:tcBorders>
              <w:start w:val="single" w:sz="4" w:space="0" w:color="000000"/>
              <w:bottom w:val="single" w:sz="4" w:space="0" w:color="000000"/>
              <w:end w:val="single" w:sz="4" w:space="0" w:color="000000"/>
            </w:tcBorders>
            <w:vAlign w:val="center"/>
          </w:tcPr>
          <w:p>
            <w:pPr>
              <w:pStyle w:val="TableContents"/>
              <w:rPr/>
            </w:pPr>
            <w:r>
              <w:rPr/>
              <w:t>To First Appellate Authority → Section 38(5)</w:t>
            </w:r>
          </w:p>
        </w:tc>
      </w:tr>
      <w:tr>
        <w:trPr>
          <w:cantSplit/>
        </w:trPr>
        <w:tc>
          <w:tcPr>
            <w:tcW w:w="3170" w:type="dxa"/>
            <w:tcBorders>
              <w:start w:val="single" w:sz="4" w:space="0" w:color="000000"/>
              <w:bottom w:val="single" w:sz="4" w:space="0" w:color="000000"/>
            </w:tcBorders>
            <w:vAlign w:val="center"/>
          </w:tcPr>
          <w:p>
            <w:pPr>
              <w:pStyle w:val="TableContents"/>
              <w:rPr/>
            </w:pPr>
            <w:r>
              <w:rPr/>
              <w:t>Model bye-laws updates binding on existing associations</w:t>
            </w:r>
          </w:p>
        </w:tc>
        <w:tc>
          <w:tcPr>
            <w:tcW w:w="3880" w:type="dxa"/>
            <w:tcBorders>
              <w:start w:val="single" w:sz="4" w:space="0" w:color="000000"/>
              <w:bottom w:val="single" w:sz="4" w:space="0" w:color="000000"/>
            </w:tcBorders>
            <w:vAlign w:val="center"/>
          </w:tcPr>
          <w:p>
            <w:pPr>
              <w:pStyle w:val="TableContents"/>
              <w:rPr/>
            </w:pPr>
            <w:r>
              <w:rPr/>
              <w:t>No provision</w:t>
            </w:r>
          </w:p>
        </w:tc>
        <w:tc>
          <w:tcPr>
            <w:tcW w:w="3496" w:type="dxa"/>
            <w:tcBorders>
              <w:start w:val="single" w:sz="4" w:space="0" w:color="000000"/>
              <w:bottom w:val="single" w:sz="4" w:space="0" w:color="000000"/>
              <w:end w:val="single" w:sz="4" w:space="0" w:color="000000"/>
            </w:tcBorders>
            <w:vAlign w:val="center"/>
          </w:tcPr>
          <w:p>
            <w:pPr>
              <w:pStyle w:val="TableContents"/>
              <w:rPr/>
            </w:pPr>
            <w:r>
              <w:rPr/>
              <w:t>New Section 39A</w:t>
            </w:r>
          </w:p>
        </w:tc>
      </w:tr>
      <w:tr>
        <w:trPr>
          <w:cantSplit/>
        </w:trPr>
        <w:tc>
          <w:tcPr>
            <w:tcW w:w="3170" w:type="dxa"/>
            <w:tcBorders>
              <w:start w:val="single" w:sz="4" w:space="0" w:color="000000"/>
              <w:bottom w:val="single" w:sz="4" w:space="0" w:color="000000"/>
            </w:tcBorders>
            <w:vAlign w:val="center"/>
          </w:tcPr>
          <w:p>
            <w:pPr>
              <w:pStyle w:val="TableContents"/>
              <w:rPr/>
            </w:pPr>
            <w:r>
              <w:rPr/>
              <w:t>Amendment of bye-laws</w:t>
            </w:r>
          </w:p>
        </w:tc>
        <w:tc>
          <w:tcPr>
            <w:tcW w:w="3880" w:type="dxa"/>
            <w:tcBorders>
              <w:start w:val="single" w:sz="4" w:space="0" w:color="000000"/>
              <w:bottom w:val="single" w:sz="4" w:space="0" w:color="000000"/>
            </w:tcBorders>
            <w:vAlign w:val="center"/>
          </w:tcPr>
          <w:p>
            <w:pPr>
              <w:pStyle w:val="TableContents"/>
              <w:rPr/>
            </w:pPr>
            <w:r>
              <w:rPr/>
              <w:t>Section 35 (before submission/approval)</w:t>
            </w:r>
          </w:p>
        </w:tc>
        <w:tc>
          <w:tcPr>
            <w:tcW w:w="3496" w:type="dxa"/>
            <w:tcBorders>
              <w:start w:val="single" w:sz="4" w:space="0" w:color="000000"/>
              <w:bottom w:val="single" w:sz="4" w:space="0" w:color="000000"/>
              <w:end w:val="single" w:sz="4" w:space="0" w:color="000000"/>
            </w:tcBorders>
            <w:vAlign w:val="center"/>
          </w:tcPr>
          <w:p>
            <w:pPr>
              <w:pStyle w:val="TableContents"/>
              <w:rPr/>
            </w:pPr>
            <w:r>
              <w:rPr/>
              <w:t>Section 39 (placed last)</w:t>
            </w:r>
          </w:p>
        </w:tc>
      </w:tr>
    </w:tbl>
    <w:p>
      <w:pPr>
        <w:pStyle w:val="Heading3"/>
        <w:numPr>
          <w:ilvl w:val="2"/>
          <w:numId w:val="2"/>
        </w:numPr>
        <w:ind w:hanging="0" w:start="0"/>
        <w:rPr/>
      </w:pPr>
      <w:bookmarkStart w:id="132" w:name="__RefHeading___Toc56286_880593128"/>
      <w:bookmarkEnd w:id="132"/>
      <w:r>
        <w:rPr/>
        <w:t>6. Atomic Changes Required</w:t>
      </w:r>
    </w:p>
    <w:p>
      <w:pPr>
        <w:pStyle w:val="BodyText"/>
        <w:rPr/>
      </w:pPr>
      <w:r>
        <w:rPr>
          <w:rStyle w:val="Strong"/>
        </w:rPr>
        <w:t>Change 1: Replace Chapter VI in its entirety</w:t>
      </w:r>
    </w:p>
    <w:p>
      <w:pPr>
        <w:pStyle w:val="BodyText"/>
        <w:rPr/>
      </w:pPr>
      <w:r>
        <w:rPr>
          <w:rStyle w:val="Emphasis"/>
        </w:rPr>
        <w:t>Replace</w:t>
      </w:r>
      <w:r>
        <w:rPr/>
        <w:t xml:space="preserve"> the current Sections 33-38 with the reordered Sections 33-39A as described above.</w:t>
      </w:r>
    </w:p>
    <w:p>
      <w:pPr>
        <w:pStyle w:val="BodyText"/>
        <w:rPr/>
      </w:pPr>
      <w:r>
        <w:rPr>
          <w:rStyle w:val="Strong"/>
        </w:rPr>
        <w:t>Change 2: New Section 39A (Application of Updated Model Bye-laws)</w:t>
      </w:r>
    </w:p>
    <w:p>
      <w:pPr>
        <w:pStyle w:val="BodyText"/>
        <w:rPr/>
      </w:pPr>
      <w:r>
        <w:rPr>
          <w:rStyle w:val="Emphasis"/>
        </w:rPr>
        <w:t>Add:</w:t>
      </w:r>
      <w:r>
        <w:rPr/>
        <w:br/>
        <w:t>"39A. Application of Updated Model Bye-laws to Existing Associations</w:t>
      </w:r>
    </w:p>
    <w:p>
      <w:pPr>
        <w:pStyle w:val="BodyText"/>
        <w:rPr/>
      </w:pPr>
      <w:r>
        <w:rPr/>
        <w:t>(1) The Model Bye-laws notified under Section 35, and any amendments thereto made by the Government from time to time, shall apply to all associations and federations registered under this Act, irrespective of the date of their registration or the date of adoption of their bye-laws.</w:t>
      </w:r>
    </w:p>
    <w:p>
      <w:pPr>
        <w:pStyle w:val="BodyText"/>
        <w:rPr/>
      </w:pPr>
      <w:r>
        <w:rPr/>
        <w:t>(2) Upon the notification of any amendment to the Model Bye-laws, the competent authority shall:</w:t>
        <w:br/>
        <w:t>(a) publish a summary of the amendments in such manner as may be prescribed;</w:t>
        <w:br/>
        <w:t>(b) provide a period of ninety days to all associations to bring their bye-laws into conformity with the amended Model Bye-laws; and</w:t>
        <w:br/>
        <w:t>(c) issue a compliance certificate to associations that have aligned their bye-laws within the stipulated period.</w:t>
      </w:r>
    </w:p>
    <w:p>
      <w:pPr>
        <w:pStyle w:val="BodyText"/>
        <w:rPr/>
      </w:pPr>
      <w:r>
        <w:rPr/>
        <w:t>(3) Where an association fails to bring its bye-laws into conformity with the amended Model Bye-laws within the period specified in sub-section (2), the competent authority may, suo motu or on an application, declare the amended Model Bye-laws to be the bye-laws applicable to such association, and such declaration shall be binding on all apartment owners.</w:t>
      </w:r>
    </w:p>
    <w:p>
      <w:pPr>
        <w:pStyle w:val="BodyText"/>
        <w:rPr/>
      </w:pPr>
      <w:r>
        <w:rPr/>
        <w:t>(4) Nothing contained in this section shall affect any right, obligation, or liability accrued or incurred prior to the date of such amendment.</w:t>
      </w:r>
    </w:p>
    <w:p>
      <w:pPr>
        <w:pStyle w:val="BodyText"/>
        <w:rPr/>
      </w:pPr>
      <w:r>
        <w:rPr/>
        <w:t>(5) The competent authority shall maintain a publicly accessible register of all associations that have been declared to be governed by the Model Bye-laws under sub-section (3), and the date of such declaration."</w:t>
      </w:r>
    </w:p>
    <w:p>
      <w:pPr>
        <w:pStyle w:val="Heading3"/>
        <w:numPr>
          <w:ilvl w:val="2"/>
          <w:numId w:val="2"/>
        </w:numPr>
        <w:ind w:hanging="0" w:start="0"/>
        <w:rPr/>
      </w:pPr>
      <w:bookmarkStart w:id="133" w:name="__RefHeading___Toc56288_880593128"/>
      <w:bookmarkEnd w:id="133"/>
      <w:r>
        <w:rPr/>
        <w:t>7. Justification</w:t>
      </w:r>
    </w:p>
    <w:p>
      <w:pPr>
        <w:pStyle w:val="BodyText"/>
        <w:rPr/>
      </w:pPr>
      <w:r>
        <w:rPr/>
        <w:t>The logical sequence must follow the lifecycle of bye-laws: drafting → content specification → guidance → approval → binding effect → enforcement → amendment → evolution.</w:t>
      </w:r>
    </w:p>
    <w:p>
      <w:pPr>
        <w:pStyle w:val="BodyText"/>
        <w:rPr/>
      </w:pPr>
      <w:r>
        <w:rPr/>
        <w:t>The existing sequence is jumbled. The corrected sequence ensures a coherent flow that is easier for associations to follow and for the Competent Authority to administer.</w:t>
      </w:r>
    </w:p>
    <w:p>
      <w:pPr>
        <w:pStyle w:val="BodyText"/>
        <w:rPr/>
      </w:pPr>
      <w:r>
        <w:rPr/>
        <w:t>Key improvements:</w:t>
      </w:r>
    </w:p>
    <w:p>
      <w:pPr>
        <w:pStyle w:val="BodyText"/>
        <w:numPr>
          <w:ilvl w:val="0"/>
          <w:numId w:val="44"/>
        </w:numPr>
        <w:rPr/>
      </w:pPr>
      <w:r>
        <w:rPr/>
        <w:t>Submission trigger fixed to "formation of association" (majority allotment) — eliminates 2-5 year delay</w:t>
      </w:r>
    </w:p>
    <w:p>
      <w:pPr>
        <w:pStyle w:val="BodyText"/>
        <w:numPr>
          <w:ilvl w:val="0"/>
          <w:numId w:val="44"/>
        </w:numPr>
        <w:rPr/>
      </w:pPr>
      <w:r>
        <w:rPr/>
        <w:t>CA can declare model bye-laws suo motu — proactive oversight</w:t>
      </w:r>
    </w:p>
    <w:p>
      <w:pPr>
        <w:pStyle w:val="BodyText"/>
        <w:numPr>
          <w:ilvl w:val="0"/>
          <w:numId w:val="44"/>
        </w:numPr>
        <w:rPr/>
      </w:pPr>
      <w:r>
        <w:rPr/>
        <w:t>Deemed approval removed — prevents CA bypass</w:t>
      </w:r>
    </w:p>
    <w:p>
      <w:pPr>
        <w:pStyle w:val="BodyText"/>
        <w:numPr>
          <w:ilvl w:val="0"/>
          <w:numId w:val="44"/>
        </w:numPr>
        <w:rPr/>
      </w:pPr>
      <w:r>
        <w:rPr/>
        <w:t>Penalty appeal to First Appellate Authority — independent review</w:t>
      </w:r>
    </w:p>
    <w:p>
      <w:pPr>
        <w:pStyle w:val="BodyText"/>
        <w:numPr>
          <w:ilvl w:val="0"/>
          <w:numId w:val="44"/>
        </w:numPr>
        <w:rPr/>
      </w:pPr>
      <w:r>
        <w:rPr/>
        <w:t>Model bye-laws updates binding on existing associations — prevents fragmentation</w:t>
      </w:r>
    </w:p>
    <w:p>
      <w:pPr>
        <w:pStyle w:val="BodyText"/>
        <w:numPr>
          <w:ilvl w:val="0"/>
          <w:numId w:val="44"/>
        </w:numPr>
        <w:rPr/>
      </w:pPr>
      <w:r>
        <w:rPr/>
        <w:t>Amendment placed last — logical sequence</w:t>
      </w:r>
    </w:p>
    <w:p>
      <w:pPr>
        <w:pStyle w:val="HorizontalLine"/>
        <w:rPr/>
      </w:pPr>
      <w:r>
        <w:rPr/>
      </w:r>
    </w:p>
    <w:p>
      <w:pPr>
        <w:pStyle w:val="Heading2"/>
        <w:rPr/>
      </w:pPr>
      <w:bookmarkStart w:id="134" w:name="__RefHeading___Toc56290_880593128"/>
      <w:bookmarkEnd w:id="134"/>
      <w:r>
        <w:rPr/>
        <w:t>Appendix 20: Applicability crisis (phased projects, townships)</w:t>
      </w:r>
    </w:p>
    <w:p>
      <w:pPr>
        <w:pStyle w:val="Heading3"/>
        <w:numPr>
          <w:ilvl w:val="0"/>
          <w:numId w:val="2"/>
        </w:numPr>
        <w:ind w:hanging="0" w:start="0"/>
        <w:rPr/>
      </w:pPr>
      <w:bookmarkStart w:id="135" w:name="__RefHeading___Toc56292_880593128"/>
      <w:bookmarkEnd w:id="135"/>
      <w:r>
        <w:rPr/>
        <w:t>1. Problem Statement</w:t>
      </w:r>
    </w:p>
    <w:p>
      <w:pPr>
        <w:pStyle w:val="BodyText"/>
        <w:rPr/>
      </w:pPr>
      <w:r>
        <w:rPr/>
        <w:t>The KAOMA model is fundamentally designed for SINGLE-BUILDING CONDOMINIUMS where all owners share a contiguous physical footprint, common areas are geographically unified, and UDI can be rationally calculated across a single parcel.</w:t>
      </w:r>
    </w:p>
    <w:p>
      <w:pPr>
        <w:pStyle w:val="BodyText"/>
        <w:rPr/>
      </w:pPr>
      <w:r>
        <w:rPr/>
        <w:t>However, Sections 1(5) and 21(5) explicitly allow phased projects, townships, and projects divided by public roads. The Act provides NO workable governance, financial, or ownership framework for these configurations.</w:t>
      </w:r>
    </w:p>
    <w:p>
      <w:pPr>
        <w:pStyle w:val="Heading3"/>
        <w:numPr>
          <w:ilvl w:val="2"/>
          <w:numId w:val="2"/>
        </w:numPr>
        <w:ind w:hanging="0" w:start="0"/>
        <w:rPr/>
      </w:pPr>
      <w:bookmarkStart w:id="136" w:name="__RefHeading___Toc56294_880593128"/>
      <w:bookmarkEnd w:id="136"/>
      <w:r>
        <w:rPr/>
        <w:t>2. Sections Involved</w:t>
      </w:r>
    </w:p>
    <w:p>
      <w:pPr>
        <w:pStyle w:val="BodyText"/>
        <w:numPr>
          <w:ilvl w:val="0"/>
          <w:numId w:val="45"/>
        </w:numPr>
        <w:rPr/>
      </w:pPr>
      <w:r>
        <w:rPr/>
        <w:t>KAOMA#1(5): Exemption for plotted/villa developments — does not explicitly exempt phased projects, townships, or projects where land is divided by public roads</w:t>
      </w:r>
    </w:p>
    <w:p>
      <w:pPr>
        <w:pStyle w:val="BodyText"/>
        <w:numPr>
          <w:ilvl w:val="0"/>
          <w:numId w:val="45"/>
        </w:numPr>
        <w:rPr/>
      </w:pPr>
      <w:r>
        <w:rPr/>
        <w:t>KAOMA#21(5): Allows phased projects and separate associations for each phase</w:t>
      </w:r>
    </w:p>
    <w:p>
      <w:pPr>
        <w:pStyle w:val="BodyText"/>
        <w:numPr>
          <w:ilvl w:val="0"/>
          <w:numId w:val="45"/>
        </w:numPr>
        <w:rPr/>
      </w:pPr>
      <w:r>
        <w:rPr/>
        <w:t>KAOMA#2(hh), #3: UDI calculated across entire project, including non-contiguous parcels</w:t>
      </w:r>
    </w:p>
    <w:p>
      <w:pPr>
        <w:pStyle w:val="BodyText"/>
        <w:numPr>
          <w:ilvl w:val="0"/>
          <w:numId w:val="45"/>
        </w:numPr>
        <w:rPr/>
      </w:pPr>
      <w:r>
        <w:rPr/>
        <w:t>KAOMA#11(3): UDI permanent and unalterable — but across the entire project</w:t>
      </w:r>
    </w:p>
    <w:p>
      <w:pPr>
        <w:pStyle w:val="BodyText"/>
        <w:numPr>
          <w:ilvl w:val="0"/>
          <w:numId w:val="45"/>
        </w:numPr>
        <w:rPr/>
      </w:pPr>
      <w:r>
        <w:rPr/>
        <w:t>KAOMA#9, #26: Common expenses apportioned across entire project</w:t>
      </w:r>
    </w:p>
    <w:p>
      <w:pPr>
        <w:pStyle w:val="BodyText"/>
        <w:numPr>
          <w:ilvl w:val="0"/>
          <w:numId w:val="45"/>
        </w:numPr>
        <w:rPr/>
      </w:pPr>
      <w:r>
        <w:rPr/>
        <w:t>KAOMA#25: Federation jurisdiction unclear</w:t>
      </w:r>
    </w:p>
    <w:p>
      <w:pPr>
        <w:pStyle w:val="Heading3"/>
        <w:numPr>
          <w:ilvl w:val="0"/>
          <w:numId w:val="0"/>
        </w:numPr>
        <w:ind w:hanging="0" w:start="0"/>
        <w:rPr/>
      </w:pPr>
      <w:bookmarkStart w:id="137" w:name="__RefHeading___Toc56296_880593128"/>
      <w:bookmarkEnd w:id="137"/>
      <w:r>
        <w:rPr/>
        <w:t>3. Causal Chains</w:t>
      </w:r>
    </w:p>
    <w:p>
      <w:pPr>
        <w:pStyle w:val="BodyText"/>
        <w:rPr/>
      </w:pPr>
      <w:r>
        <w:rPr>
          <w:rStyle w:val="Strong"/>
        </w:rPr>
        <w:t>Chain 1: The Absurd UDI Fraction</w:t>
      </w:r>
    </w:p>
    <w:p>
      <w:pPr>
        <w:pStyle w:val="BodyText"/>
        <w:rPr/>
      </w:pPr>
      <w:r>
        <w:rPr/>
        <w:t>1.1: #2(hh), #3 → UDI calculated across entire project.</w:t>
        <w:br/>
        <w:t>→ In 100-acre township with 10,000 apartments, each UDI = 0.01%.</w:t>
      </w:r>
    </w:p>
    <w:p>
      <w:pPr>
        <w:pStyle w:val="BodyText"/>
        <w:rPr/>
      </w:pPr>
      <w:r>
        <w:rPr/>
        <w:t>1.2: Bank requires identifiable, marketable, geographically enforceable collateral.</w:t>
        <w:br/>
        <w:t>→ Owner pledging 0.01% share of mall 5 km away.</w:t>
      </w:r>
    </w:p>
    <w:p>
      <w:pPr>
        <w:pStyle w:val="BodyText"/>
        <w:rPr/>
      </w:pPr>
      <w:r>
        <w:rPr/>
        <w:t>1.3: Bank cannot enforce against fractional share of distant commercial block.</w:t>
        <w:br/>
        <w:t>→ Loans reduced or rejected. Mortgages unregisterable.</w:t>
      </w:r>
    </w:p>
    <w:p>
      <w:pPr>
        <w:pStyle w:val="HorizontalLine"/>
        <w:rPr/>
      </w:pPr>
      <w:r>
        <w:rPr/>
      </w:r>
    </w:p>
    <w:p>
      <w:pPr>
        <w:pStyle w:val="BodyText"/>
        <w:rPr/>
      </w:pPr>
      <w:r>
        <w:rPr>
          <w:rStyle w:val="Strong"/>
        </w:rPr>
        <w:t>Chain 2: The Redevelopment Paradox</w:t>
      </w:r>
    </w:p>
    <w:p>
      <w:pPr>
        <w:pStyle w:val="BodyText"/>
        <w:rPr/>
      </w:pPr>
      <w:r>
        <w:rPr/>
        <w:t>2.1: #50(3) → Redevelopment of any part requires 75% consent of ALL owners in entire project.</w:t>
        <w:br/>
        <w:t>→ Tower A (40 years old, structurally unsafe) requires consent from Towers B-Z (5 years old).</w:t>
      </w:r>
    </w:p>
    <w:p>
      <w:pPr>
        <w:pStyle w:val="BodyText"/>
        <w:rPr/>
      </w:pPr>
      <w:r>
        <w:rPr/>
        <w:t>2.2: Distant owners have no interest in Tower A's decay.</w:t>
        <w:br/>
        <w:t>→ They hold veto over life-safety decisions. ∴ Absurd.</w:t>
      </w:r>
    </w:p>
    <w:p>
      <w:pPr>
        <w:pStyle w:val="BodyText"/>
        <w:rPr/>
      </w:pPr>
      <w:r>
        <w:rPr/>
        <w:t>2.3: Conversely, distant owners can force redevelopment on structurally sound tower.</w:t>
        <w:br/>
        <w:t>→ 75% majority can compel redevelopment against will of residents.</w:t>
        <w:br/>
        <w:t>→ Dissenting owners forcibly bought out (#50(5)). ∴ Tyranny of majority.</w:t>
      </w:r>
    </w:p>
    <w:p>
      <w:pPr>
        <w:pStyle w:val="HorizontalLine"/>
        <w:rPr/>
      </w:pPr>
      <w:r>
        <w:rPr/>
      </w:r>
    </w:p>
    <w:p>
      <w:pPr>
        <w:pStyle w:val="BodyText"/>
        <w:rPr/>
      </w:pPr>
      <w:r>
        <w:rPr>
          <w:rStyle w:val="Strong"/>
        </w:rPr>
        <w:t>Chain 3: Inter-Phase Liability Spillover</w:t>
      </w:r>
    </w:p>
    <w:p>
      <w:pPr>
        <w:pStyle w:val="BodyText"/>
        <w:rPr/>
      </w:pPr>
      <w:r>
        <w:rPr/>
        <w:t>3.1: #9, #26 → Common expenses apportioned across entire project regardless of benefit.</w:t>
        <w:br/>
        <w:t>→ Phase 1 residents pay for Phase 4 pool repair.</w:t>
      </w:r>
    </w:p>
    <w:p>
      <w:pPr>
        <w:pStyle w:val="BodyText"/>
        <w:rPr/>
      </w:pPr>
      <w:r>
        <w:rPr/>
        <w:t>3.2: #26(3) → Every owner liable for maintenance of entire project regardless of non-use.</w:t>
        <w:br/>
        <w:t>→ No "polluter-pays" or "beneficiary-pays" mechanism.</w:t>
      </w:r>
    </w:p>
    <w:p>
      <w:pPr>
        <w:pStyle w:val="BodyText"/>
        <w:rPr/>
      </w:pPr>
      <w:r>
        <w:rPr/>
        <w:t>3.3: Federation can levy assessments to meet shortfalls.</w:t>
        <w:br/>
        <w:t>→ Phase 1 mismanagement → Phase 3 residents forced to pay.</w:t>
      </w:r>
    </w:p>
    <w:p>
      <w:pPr>
        <w:pStyle w:val="HorizontalLine"/>
        <w:rPr/>
      </w:pPr>
      <w:r>
        <w:rPr/>
      </w:r>
    </w:p>
    <w:p>
      <w:pPr>
        <w:pStyle w:val="BodyText"/>
        <w:rPr/>
      </w:pPr>
      <w:r>
        <w:rPr>
          <w:rStyle w:val="Strong"/>
        </w:rPr>
        <w:t>Chain 4: Geographically Dispersed Common Areas</w:t>
      </w:r>
    </w:p>
    <w:p>
      <w:pPr>
        <w:pStyle w:val="BodyText"/>
        <w:rPr/>
      </w:pPr>
      <w:r>
        <w:rPr/>
        <w:t>4.1: #2(i) → Common areas defined as unitary pool without geographic segregation.</w:t>
        <w:br/>
        <w:t>→ Garden in Phase 1 accessible to Phase 4 residents 5 km away.</w:t>
      </w:r>
    </w:p>
    <w:p>
      <w:pPr>
        <w:pStyle w:val="BodyText"/>
        <w:rPr/>
      </w:pPr>
      <w:r>
        <w:rPr/>
        <w:t>4.2: #11(7) → Every apartment owner entitled to use all common areas.</w:t>
        <w:br/>
        <w:t>→ Phase 1 association cannot restrict access to its garden.</w:t>
      </w:r>
    </w:p>
    <w:p>
      <w:pPr>
        <w:pStyle w:val="BodyText"/>
        <w:rPr/>
      </w:pPr>
      <w:r>
        <w:rPr/>
        <w:t>4.3: Phase 4 lacks garden but legally entitled to Phase 1 garden.</w:t>
        <w:br/>
        <w:t>→ Phase 1 residents disenfranchised from managing immediate environment.</w:t>
      </w:r>
    </w:p>
    <w:p>
      <w:pPr>
        <w:pStyle w:val="HorizontalLine"/>
        <w:rPr/>
      </w:pPr>
      <w:r>
        <w:rPr/>
      </w:r>
    </w:p>
    <w:p>
      <w:pPr>
        <w:pStyle w:val="BodyText"/>
        <w:rPr/>
      </w:pPr>
      <w:r>
        <w:rPr>
          <w:rStyle w:val="Strong"/>
        </w:rPr>
        <w:t>Chain 5: Utility and Infrastructure Incompatibility</w:t>
      </w:r>
    </w:p>
    <w:p>
      <w:pPr>
        <w:pStyle w:val="BodyText"/>
        <w:rPr/>
      </w:pPr>
      <w:r>
        <w:rPr/>
        <w:t>5.1: #1(5) does not explicitly exempt projects divided by public roads.</w:t>
        <w:br/>
        <w:t>→ Pipes, cables, utilities cannot cross public roads.</w:t>
      </w:r>
    </w:p>
    <w:p>
      <w:pPr>
        <w:pStyle w:val="BodyText"/>
        <w:rPr/>
      </w:pPr>
      <w:r>
        <w:rPr/>
        <w:t>5.2: Common facilities cannot be shared across parcels.</w:t>
        <w:br/>
        <w:t>→ Project cannot physically comply with KAOMA's common area management requirements.</w:t>
      </w:r>
    </w:p>
    <w:p>
      <w:pPr>
        <w:pStyle w:val="BodyText"/>
        <w:rPr/>
      </w:pPr>
      <w:r>
        <w:rPr>
          <w:rStyle w:val="Strong"/>
        </w:rPr>
        <w:t>Final Consequence:</w:t>
      </w:r>
      <w:r>
        <w:rPr/>
        <w:t xml:space="preserve"> The KAOMA model conflates geographically contiguous single buildings with spatially dispersed multi-acre townships. This produces structural impossibilities: unregisterable mortgages, absurd UDI fractions, governance paralysis, and administrative arbitrariness over fundamental property rights.</w:t>
      </w:r>
    </w:p>
    <w:p>
      <w:pPr>
        <w:pStyle w:val="Heading3"/>
        <w:numPr>
          <w:ilvl w:val="2"/>
          <w:numId w:val="2"/>
        </w:numPr>
        <w:ind w:hanging="0" w:start="0"/>
        <w:rPr/>
      </w:pPr>
      <w:bookmarkStart w:id="138" w:name="__RefHeading___Toc56298_880593128"/>
      <w:bookmarkEnd w:id="138"/>
      <w:r>
        <w:rPr/>
        <w:t>4. Itemized Consequences</w:t>
      </w:r>
    </w:p>
    <w:p>
      <w:pPr>
        <w:pStyle w:val="BodyText"/>
        <w:numPr>
          <w:ilvl w:val="0"/>
          <w:numId w:val="46"/>
        </w:numPr>
        <w:rPr/>
      </w:pPr>
      <w:r>
        <w:rPr>
          <w:rStyle w:val="Strong"/>
        </w:rPr>
        <w:t>Absurd UDI fractions:</w:t>
      </w:r>
      <w:r>
        <w:rPr/>
        <w:t xml:space="preserve"> In 100-acre township with 10,000 apartments, each owner's UDI = 0.01% spread across entire geographical expanse. Bank cannot mortgage 0.01% share of shopping mall 5 km away.</w:t>
      </w:r>
    </w:p>
    <w:p>
      <w:pPr>
        <w:pStyle w:val="BodyText"/>
        <w:numPr>
          <w:ilvl w:val="0"/>
          <w:numId w:val="46"/>
        </w:numPr>
        <w:rPr/>
      </w:pPr>
      <w:r>
        <w:rPr>
          <w:rStyle w:val="Strong"/>
        </w:rPr>
        <w:t>Redevelopment paradox:</w:t>
      </w:r>
      <w:r>
        <w:rPr/>
        <w:t xml:space="preserve"> Tower A (40 years old) requires 75% consent of all 10,000 owners. Towers B-Z (5 years old) hold veto over Tower A's life-safety decisions.</w:t>
      </w:r>
    </w:p>
    <w:p>
      <w:pPr>
        <w:pStyle w:val="BodyText"/>
        <w:numPr>
          <w:ilvl w:val="0"/>
          <w:numId w:val="46"/>
        </w:numPr>
        <w:rPr/>
      </w:pPr>
      <w:r>
        <w:rPr>
          <w:rStyle w:val="Strong"/>
        </w:rPr>
        <w:t>Inter-phase liability spillover:</w:t>
      </w:r>
      <w:r>
        <w:rPr/>
        <w:t xml:space="preserve"> Phase 1 residents pay for Phase 4 pool repair. No geographic apportionment mechanism.</w:t>
      </w:r>
    </w:p>
    <w:p>
      <w:pPr>
        <w:pStyle w:val="BodyText"/>
        <w:numPr>
          <w:ilvl w:val="0"/>
          <w:numId w:val="46"/>
        </w:numPr>
        <w:rPr/>
      </w:pPr>
      <w:r>
        <w:rPr>
          <w:rStyle w:val="Strong"/>
        </w:rPr>
        <w:t>Geographically dispersed common areas:</w:t>
      </w:r>
      <w:r>
        <w:rPr/>
        <w:t xml:space="preserve"> Phase 1 garden accessible to Phase 4 residents 5 km away. Phase 1 residents cannot restrict access.</w:t>
      </w:r>
    </w:p>
    <w:p>
      <w:pPr>
        <w:pStyle w:val="BodyText"/>
        <w:numPr>
          <w:ilvl w:val="0"/>
          <w:numId w:val="46"/>
        </w:numPr>
        <w:rPr/>
      </w:pPr>
      <w:r>
        <w:rPr>
          <w:rStyle w:val="Strong"/>
        </w:rPr>
        <w:t>Unregisterable mortgages:</w:t>
      </w:r>
      <w:r>
        <w:rPr/>
        <w:t xml:space="preserve"> Banks cannot accept fractional share of distant property as collateral. Loans rejected.</w:t>
      </w:r>
    </w:p>
    <w:p>
      <w:pPr>
        <w:pStyle w:val="BodyText"/>
        <w:numPr>
          <w:ilvl w:val="0"/>
          <w:numId w:val="46"/>
        </w:numPr>
        <w:rPr/>
      </w:pPr>
      <w:r>
        <w:rPr>
          <w:rStyle w:val="Strong"/>
        </w:rPr>
        <w:t>Utility incompatibility:</w:t>
      </w:r>
      <w:r>
        <w:rPr/>
        <w:t xml:space="preserve"> Public roads divide parcels. Pipes and cables cannot cross roads. Project cannot physically comply.</w:t>
      </w:r>
    </w:p>
    <w:p>
      <w:pPr>
        <w:pStyle w:val="Heading3"/>
        <w:numPr>
          <w:ilvl w:val="0"/>
          <w:numId w:val="0"/>
        </w:numPr>
        <w:ind w:hanging="0" w:start="0"/>
        <w:rPr/>
      </w:pPr>
      <w:bookmarkStart w:id="139" w:name="__RefHeading___Toc56300_880593128"/>
      <w:bookmarkEnd w:id="139"/>
      <w:r>
        <w:rPr/>
        <w:t>5. Atomic Changes Required</w:t>
      </w:r>
    </w:p>
    <w:p>
      <w:pPr>
        <w:pStyle w:val="BodyText"/>
        <w:rPr/>
      </w:pPr>
      <w:r>
        <w:rPr>
          <w:rStyle w:val="Strong"/>
        </w:rPr>
        <w:t>Option A: Clean Exemption (Recommended)</w:t>
      </w:r>
    </w:p>
    <w:p>
      <w:pPr>
        <w:pStyle w:val="BodyText"/>
        <w:rPr/>
      </w:pPr>
      <w:r>
        <w:rPr>
          <w:rStyle w:val="Strong"/>
        </w:rPr>
        <w:t>Change 1: Amend KAOMA#1(5)</w:t>
      </w:r>
    </w:p>
    <w:p>
      <w:pPr>
        <w:pStyle w:val="BodyText"/>
        <w:rPr/>
      </w:pPr>
      <w:r>
        <w:rPr>
          <w:rStyle w:val="Emphasis"/>
        </w:rPr>
        <w:t>Add:</w:t>
      </w:r>
      <w:r>
        <w:rPr/>
        <w:br/>
        <w:t>"The provisions of this Act shall not apply to:</w:t>
        <w:br/>
        <w:t>(a) plotted developments or villa developments where the land forming each plot or villa site is individually conveyed to the allottee or purchaser by a registered instrument in accordance with the provisions of the Transfer of Property Act, 1882 and any other law governing such developments and all the roads, parks and civic amenities are handed over to the local authority.</w:t>
      </w:r>
    </w:p>
    <w:p>
      <w:pPr>
        <w:pStyle w:val="BodyText"/>
        <w:rPr/>
      </w:pPr>
      <w:r>
        <w:rPr/>
        <w:t>(b) phased projects, township projects, or projects where the land is divided by public roads into separate parcels, unless the promoter demonstrates to the satisfaction of the Competent Authority that all common areas and facilities are geographically contiguous, capable of shared management, and that utilities and infrastructure can be lawfully provided across the entire project without crossing public roads.</w:t>
      </w:r>
    </w:p>
    <w:p>
      <w:pPr>
        <w:pStyle w:val="BodyText"/>
        <w:rPr/>
      </w:pPr>
      <w:r>
        <w:rPr/>
        <w:t>(c) projects containing more than one building where the buildings are located on non-contiguous parcels of land, unless a single master association is formed with clear phase-based UDI segregation and financial accountability mechanisms approved by the Competent Authority."</w:t>
      </w:r>
    </w:p>
    <w:p>
      <w:pPr>
        <w:pStyle w:val="BodyText"/>
        <w:rPr/>
      </w:pPr>
      <w:r>
        <w:rPr>
          <w:rStyle w:val="Strong"/>
        </w:rPr>
        <w:t>Change 2: Amend KAOMA#21(5)</w:t>
      </w:r>
    </w:p>
    <w:p>
      <w:pPr>
        <w:pStyle w:val="BodyText"/>
        <w:rPr/>
      </w:pPr>
      <w:r>
        <w:rPr>
          <w:rStyle w:val="Emphasis"/>
        </w:rPr>
        <w:t>Delete</w:t>
      </w:r>
      <w:r>
        <w:rPr/>
        <w:t xml:space="preserve"> the allowance for phased projects.</w:t>
      </w:r>
    </w:p>
    <w:p>
      <w:pPr>
        <w:pStyle w:val="HorizontalLine"/>
        <w:rPr/>
      </w:pPr>
      <w:r>
        <w:rPr/>
      </w:r>
    </w:p>
    <w:p>
      <w:pPr>
        <w:pStyle w:val="BodyText"/>
        <w:rPr/>
      </w:pPr>
      <w:r>
        <w:rPr>
          <w:rStyle w:val="Strong"/>
        </w:rPr>
        <w:t>Option B: Fallback (If Exemption Not Granted)</w:t>
      </w:r>
    </w:p>
    <w:p>
      <w:pPr>
        <w:pStyle w:val="BodyText"/>
        <w:rPr/>
      </w:pPr>
      <w:r>
        <w:rPr>
          <w:rStyle w:val="Strong"/>
        </w:rPr>
        <w:t>Change 1: Amend KAOMA#2(hh), #3, #11(3)</w:t>
      </w:r>
    </w:p>
    <w:p>
      <w:pPr>
        <w:pStyle w:val="BodyText"/>
        <w:rPr/>
      </w:pPr>
      <w:r>
        <w:rPr>
          <w:rStyle w:val="Emphasis"/>
        </w:rPr>
        <w:t>Add:</w:t>
      </w:r>
      <w:r>
        <w:rPr/>
        <w:t xml:space="preserve"> "UDI shall be calculated only within the relevant phase or geographical parcel. The Declaration shall specify the phase-wise UDI schedule. UDI shall be permanent and unalterable within the phase. Inter-phase UDI recalculation shall not occur."</w:t>
      </w:r>
    </w:p>
    <w:p>
      <w:pPr>
        <w:pStyle w:val="BodyText"/>
        <w:rPr/>
      </w:pPr>
      <w:r>
        <w:rPr>
          <w:rStyle w:val="Strong"/>
        </w:rPr>
        <w:t>Change 2: Amend KAOMA#21(5)</w:t>
      </w:r>
    </w:p>
    <w:p>
      <w:pPr>
        <w:pStyle w:val="BodyText"/>
        <w:rPr/>
      </w:pPr>
      <w:r>
        <w:rPr>
          <w:rStyle w:val="Emphasis"/>
        </w:rPr>
        <w:t>Replace:</w:t>
      </w:r>
      <w:r>
        <w:rPr/>
        <w:t xml:space="preserve"> "Phased projects shall not be permitted unless a single master association is formed from the outset, and the Declaration clearly delineates the common areas belonging to each phase and the shared common areas managed by the federation."</w:t>
      </w:r>
    </w:p>
    <w:p>
      <w:pPr>
        <w:pStyle w:val="BodyText"/>
        <w:rPr/>
      </w:pPr>
      <w:r>
        <w:rPr>
          <w:rStyle w:val="Strong"/>
        </w:rPr>
        <w:t>Change 3: Amend KAOMA#9, #26</w:t>
      </w:r>
    </w:p>
    <w:p>
      <w:pPr>
        <w:pStyle w:val="BodyText"/>
        <w:rPr/>
      </w:pPr>
      <w:r>
        <w:rPr>
          <w:rStyle w:val="Emphasis"/>
        </w:rPr>
        <w:t>Add:</w:t>
      </w:r>
      <w:r>
        <w:rPr/>
        <w:t xml:space="preserve"> "Common expenses shall be apportioned within the phase that benefits from the expenditure. Federation levies for shared facilities shall require the consent of each affected phase association."</w:t>
      </w:r>
    </w:p>
    <w:p>
      <w:pPr>
        <w:pStyle w:val="BodyText"/>
        <w:rPr/>
      </w:pPr>
      <w:r>
        <w:rPr>
          <w:rStyle w:val="Strong"/>
        </w:rPr>
        <w:t>Change 4: Amend KAOMA#25</w:t>
      </w:r>
    </w:p>
    <w:p>
      <w:pPr>
        <w:pStyle w:val="BodyText"/>
        <w:rPr/>
      </w:pPr>
      <w:r>
        <w:rPr>
          <w:rStyle w:val="Emphasis"/>
        </w:rPr>
        <w:t>Add:</w:t>
      </w:r>
      <w:r>
        <w:rPr/>
        <w:t xml:space="preserve"> "Federations shall have no power to impose financial liabilities on any phase association without its prior written consent. Federations shall be responsible only for shared facilities that are physically and functionally common across phases. Each association retains full autonomy over its own phase's common areas and finances."</w:t>
      </w:r>
    </w:p>
    <w:p>
      <w:pPr>
        <w:pStyle w:val="Heading3"/>
        <w:numPr>
          <w:ilvl w:val="2"/>
          <w:numId w:val="2"/>
        </w:numPr>
        <w:ind w:hanging="0" w:start="0"/>
        <w:rPr/>
      </w:pPr>
      <w:bookmarkStart w:id="140" w:name="__RefHeading___Toc56302_880593128"/>
      <w:bookmarkEnd w:id="140"/>
      <w:r>
        <w:rPr/>
        <w:t>6. Justification</w:t>
      </w:r>
    </w:p>
    <w:p>
      <w:pPr>
        <w:pStyle w:val="BodyText"/>
        <w:rPr/>
      </w:pPr>
      <w:r>
        <w:rPr/>
        <w:t>The KAOMA model conflates the physical reality of a geographically contiguous single building with the spatial dispersion of a multi-acre, multi-phase integrated township. This conflation produces a series of structural impossibilities: financially unregisterable mortgages, geographically absurd UDI fractions, governance paralysis, and administrative arbitrariness over fundamental property rights.</w:t>
      </w:r>
    </w:p>
    <w:p>
      <w:pPr>
        <w:pStyle w:val="BodyText"/>
        <w:rPr/>
      </w:pPr>
      <w:r>
        <w:rPr/>
        <w:t>The needs of phased development, townships, villas, and plotted layouts are fundamentally different. KOFA cannot be entirely subsumed in KAOMA because the models are incompatible. Without explicit exemption (or, at minimum, phase-based legal segregation and financial accountability), KAOMA will legally enshrine a framework for perpetual inter-phase warfare, commercial exploitation, and the erosion of the fundamental right to peaceful habitation.</w:t>
      </w:r>
    </w:p>
    <w:p>
      <w:pPr>
        <w:pStyle w:val="BodyText"/>
        <w:rPr/>
      </w:pPr>
      <w:r>
        <w:rPr>
          <w:rStyle w:val="Strong"/>
        </w:rPr>
        <w:t>Practical Illustrations:</w:t>
      </w:r>
    </w:p>
    <w:tbl>
      <w:tblPr>
        <w:tblW w:w="10546" w:type="dxa"/>
        <w:jc w:val="start"/>
        <w:tblInd w:w="53" w:type="dxa"/>
        <w:tblLayout w:type="fixed"/>
        <w:tblCellMar>
          <w:top w:w="58" w:type="dxa"/>
          <w:start w:w="58" w:type="dxa"/>
          <w:bottom w:w="58" w:type="dxa"/>
          <w:end w:w="58" w:type="dxa"/>
        </w:tblCellMar>
      </w:tblPr>
      <w:tblGrid>
        <w:gridCol w:w="3026"/>
        <w:gridCol w:w="7520"/>
      </w:tblGrid>
      <w:tr>
        <w:trPr>
          <w:tblHeader w:val="true"/>
          <w:cantSplit/>
        </w:trPr>
        <w:tc>
          <w:tcPr>
            <w:tcW w:w="3026" w:type="dxa"/>
            <w:tcBorders>
              <w:top w:val="single" w:sz="4" w:space="0" w:color="000000"/>
              <w:start w:val="single" w:sz="4" w:space="0" w:color="000000"/>
              <w:bottom w:val="single" w:sz="4" w:space="0" w:color="000000"/>
            </w:tcBorders>
            <w:vAlign w:val="center"/>
          </w:tcPr>
          <w:p>
            <w:pPr>
              <w:pStyle w:val="TableHeading"/>
              <w:rPr/>
            </w:pPr>
            <w:r>
              <w:rPr/>
              <w:t>Scenario</w:t>
            </w:r>
          </w:p>
        </w:tc>
        <w:tc>
          <w:tcPr>
            <w:tcW w:w="7520" w:type="dxa"/>
            <w:tcBorders>
              <w:top w:val="single" w:sz="4" w:space="0" w:color="000000"/>
              <w:start w:val="single" w:sz="4" w:space="0" w:color="000000"/>
              <w:bottom w:val="single" w:sz="4" w:space="0" w:color="000000"/>
              <w:end w:val="single" w:sz="4" w:space="0" w:color="000000"/>
            </w:tcBorders>
            <w:vAlign w:val="center"/>
          </w:tcPr>
          <w:p>
            <w:pPr>
              <w:pStyle w:val="TableHeading"/>
              <w:rPr/>
            </w:pPr>
            <w:r>
              <w:rPr/>
              <w:t>Absurdity Under Current KAOMA</w:t>
            </w:r>
          </w:p>
        </w:tc>
      </w:tr>
      <w:tr>
        <w:trPr>
          <w:cantSplit/>
        </w:trPr>
        <w:tc>
          <w:tcPr>
            <w:tcW w:w="3026" w:type="dxa"/>
            <w:tcBorders>
              <w:start w:val="single" w:sz="4" w:space="0" w:color="000000"/>
              <w:bottom w:val="single" w:sz="4" w:space="0" w:color="000000"/>
            </w:tcBorders>
            <w:vAlign w:val="center"/>
          </w:tcPr>
          <w:p>
            <w:pPr>
              <w:pStyle w:val="TableContents"/>
              <w:rPr/>
            </w:pPr>
            <w:r>
              <w:rPr/>
              <w:t>100-acre township, 10,000 apartments</w:t>
            </w:r>
          </w:p>
        </w:tc>
        <w:tc>
          <w:tcPr>
            <w:tcW w:w="7520" w:type="dxa"/>
            <w:tcBorders>
              <w:start w:val="single" w:sz="4" w:space="0" w:color="000000"/>
              <w:bottom w:val="single" w:sz="4" w:space="0" w:color="000000"/>
              <w:end w:val="single" w:sz="4" w:space="0" w:color="000000"/>
            </w:tcBorders>
            <w:vAlign w:val="center"/>
          </w:tcPr>
          <w:p>
            <w:pPr>
              <w:pStyle w:val="TableContents"/>
              <w:rPr/>
            </w:pPr>
            <w:r>
              <w:rPr/>
              <w:t>Owner's UDI = 0.01% spread across entire 100 acres. Bank refuses mortgage on 0.01% share of a shopping mall 5 km away.</w:t>
            </w:r>
          </w:p>
        </w:tc>
      </w:tr>
      <w:tr>
        <w:trPr>
          <w:cantSplit/>
        </w:trPr>
        <w:tc>
          <w:tcPr>
            <w:tcW w:w="3026" w:type="dxa"/>
            <w:tcBorders>
              <w:start w:val="single" w:sz="4" w:space="0" w:color="000000"/>
              <w:bottom w:val="single" w:sz="4" w:space="0" w:color="000000"/>
            </w:tcBorders>
            <w:vAlign w:val="center"/>
          </w:tcPr>
          <w:p>
            <w:pPr>
              <w:pStyle w:val="TableContents"/>
              <w:rPr/>
            </w:pPr>
            <w:r>
              <w:rPr/>
              <w:t>Tower A (40 years old) needs redevelopment</w:t>
            </w:r>
          </w:p>
        </w:tc>
        <w:tc>
          <w:tcPr>
            <w:tcW w:w="7520" w:type="dxa"/>
            <w:tcBorders>
              <w:start w:val="single" w:sz="4" w:space="0" w:color="000000"/>
              <w:bottom w:val="single" w:sz="4" w:space="0" w:color="000000"/>
              <w:end w:val="single" w:sz="4" w:space="0" w:color="000000"/>
            </w:tcBorders>
            <w:vAlign w:val="center"/>
          </w:tcPr>
          <w:p>
            <w:pPr>
              <w:pStyle w:val="TableContents"/>
              <w:rPr/>
            </w:pPr>
            <w:r>
              <w:rPr/>
              <w:t>Requires 75% consent of all 10,000 owners. Towers B-Z (5 years old) hold veto over Tower A's life-safety decisions.</w:t>
            </w:r>
          </w:p>
        </w:tc>
      </w:tr>
      <w:tr>
        <w:trPr>
          <w:cantSplit/>
        </w:trPr>
        <w:tc>
          <w:tcPr>
            <w:tcW w:w="3026" w:type="dxa"/>
            <w:tcBorders>
              <w:start w:val="single" w:sz="4" w:space="0" w:color="000000"/>
              <w:bottom w:val="single" w:sz="4" w:space="0" w:color="000000"/>
            </w:tcBorders>
            <w:vAlign w:val="center"/>
          </w:tcPr>
          <w:p>
            <w:pPr>
              <w:pStyle w:val="TableContents"/>
              <w:rPr/>
            </w:pPr>
            <w:r>
              <w:rPr/>
              <w:t>Phase 1 garden, Phase 4 lacks garden</w:t>
            </w:r>
          </w:p>
        </w:tc>
        <w:tc>
          <w:tcPr>
            <w:tcW w:w="7520" w:type="dxa"/>
            <w:tcBorders>
              <w:start w:val="single" w:sz="4" w:space="0" w:color="000000"/>
              <w:bottom w:val="single" w:sz="4" w:space="0" w:color="000000"/>
              <w:end w:val="single" w:sz="4" w:space="0" w:color="000000"/>
            </w:tcBorders>
            <w:vAlign w:val="center"/>
          </w:tcPr>
          <w:p>
            <w:pPr>
              <w:pStyle w:val="TableContents"/>
              <w:rPr/>
            </w:pPr>
            <w:r>
              <w:rPr/>
              <w:t>Phase 4 residents legally entitled to use Phase 1 garden. Phase 1 residents cannot restrict access.</w:t>
            </w:r>
          </w:p>
        </w:tc>
      </w:tr>
      <w:tr>
        <w:trPr>
          <w:cantSplit/>
        </w:trPr>
        <w:tc>
          <w:tcPr>
            <w:tcW w:w="3026" w:type="dxa"/>
            <w:tcBorders>
              <w:start w:val="single" w:sz="4" w:space="0" w:color="000000"/>
              <w:bottom w:val="single" w:sz="4" w:space="0" w:color="000000"/>
            </w:tcBorders>
            <w:vAlign w:val="center"/>
          </w:tcPr>
          <w:p>
            <w:pPr>
              <w:pStyle w:val="TableContents"/>
              <w:rPr/>
            </w:pPr>
            <w:r>
              <w:rPr/>
              <w:t>Phase 1 lift repair, Phase 4 residents</w:t>
            </w:r>
          </w:p>
        </w:tc>
        <w:tc>
          <w:tcPr>
            <w:tcW w:w="7520" w:type="dxa"/>
            <w:tcBorders>
              <w:start w:val="single" w:sz="4" w:space="0" w:color="000000"/>
              <w:bottom w:val="single" w:sz="4" w:space="0" w:color="000000"/>
              <w:end w:val="single" w:sz="4" w:space="0" w:color="000000"/>
            </w:tcBorders>
            <w:vAlign w:val="center"/>
          </w:tcPr>
          <w:p>
            <w:pPr>
              <w:pStyle w:val="TableContents"/>
              <w:rPr/>
            </w:pPr>
            <w:r>
              <w:rPr/>
              <w:t>Phase 4 residents compelled to pay for Phase 1 lift repair under Section 26(3). No "polluter-pays" or "beneficiary-pays" mechanism.</w:t>
            </w:r>
          </w:p>
        </w:tc>
      </w:tr>
      <w:tr>
        <w:trPr>
          <w:cantSplit/>
        </w:trPr>
        <w:tc>
          <w:tcPr>
            <w:tcW w:w="3026" w:type="dxa"/>
            <w:tcBorders>
              <w:start w:val="single" w:sz="4" w:space="0" w:color="000000"/>
              <w:bottom w:val="single" w:sz="4" w:space="0" w:color="000000"/>
            </w:tcBorders>
            <w:vAlign w:val="center"/>
          </w:tcPr>
          <w:p>
            <w:pPr>
              <w:pStyle w:val="TableContents"/>
              <w:rPr/>
            </w:pPr>
            <w:r>
              <w:rPr/>
              <w:t>Public road divides parcels</w:t>
            </w:r>
          </w:p>
        </w:tc>
        <w:tc>
          <w:tcPr>
            <w:tcW w:w="7520" w:type="dxa"/>
            <w:tcBorders>
              <w:start w:val="single" w:sz="4" w:space="0" w:color="000000"/>
              <w:bottom w:val="single" w:sz="4" w:space="0" w:color="000000"/>
              <w:end w:val="single" w:sz="4" w:space="0" w:color="000000"/>
            </w:tcBorders>
            <w:vAlign w:val="center"/>
          </w:tcPr>
          <w:p>
            <w:pPr>
              <w:pStyle w:val="TableContents"/>
              <w:rPr/>
            </w:pPr>
            <w:r>
              <w:rPr/>
              <w:t>Pipes and cables cannot be laid across public roads. Project cannot physically comply with common area management requirements.</w:t>
            </w:r>
          </w:p>
        </w:tc>
      </w:tr>
    </w:tbl>
    <w:p>
      <w:pPr>
        <w:pStyle w:val="HorizontalLine"/>
        <w:rPr/>
      </w:pPr>
      <w:r>
        <w:rPr/>
      </w:r>
    </w:p>
    <w:p>
      <w:pPr>
        <w:pStyle w:val="Heading1"/>
        <w:numPr>
          <w:ilvl w:val="0"/>
          <w:numId w:val="2"/>
        </w:numPr>
        <w:ind w:hanging="0" w:start="0"/>
        <w:rPr/>
      </w:pPr>
      <w:bookmarkStart w:id="141" w:name="__RefHeading___Toc56304_880593128"/>
      <w:bookmarkEnd w:id="141"/>
      <w:r>
        <w:rPr/>
        <w:t>Conclusion</w:t>
      </w:r>
    </w:p>
    <w:p>
      <w:pPr>
        <w:pStyle w:val="BodyText"/>
        <w:rPr/>
      </w:pPr>
      <w:r>
        <w:rPr/>
        <w:t xml:space="preserve">This consolidated analysis identifies </w:t>
      </w:r>
      <w:r>
        <w:rPr>
          <w:rStyle w:val="Strong"/>
        </w:rPr>
        <w:t>two types of corrections</w:t>
      </w:r>
      <w:r>
        <w:rPr/>
        <w:t xml:space="preserve"> across the KAOMA Bill:</w:t>
      </w:r>
    </w:p>
    <w:p>
      <w:pPr>
        <w:pStyle w:val="BodyText"/>
        <w:rPr/>
      </w:pPr>
      <w:r>
        <w:rPr>
          <w:rStyle w:val="Strong"/>
        </w:rPr>
        <w:t>Part A: 20 Problem Patterns</w:t>
      </w:r>
      <w:r>
        <w:rPr/>
        <w:t xml:space="preserve"> — Systemic themes requiring coordinated amendments across multiple sections.</w:t>
      </w:r>
    </w:p>
    <w:p>
      <w:pPr>
        <w:pStyle w:val="BodyText"/>
        <w:rPr/>
      </w:pPr>
      <w:r>
        <w:rPr>
          <w:rStyle w:val="Strong"/>
        </w:rPr>
        <w:t>Part B: 197 Section-wise Comments</w:t>
      </w:r>
      <w:r>
        <w:rPr/>
        <w:t xml:space="preserve"> — Atomic spot-fixes for individual sections.</w:t>
      </w:r>
    </w:p>
    <w:p>
      <w:pPr>
        <w:pStyle w:val="BodyText"/>
        <w:rPr/>
      </w:pPr>
      <w:r>
        <w:rPr>
          <w:rStyle w:val="Strong"/>
        </w:rPr>
        <w:t>The most critical issues requiring immediate attention:</w:t>
      </w:r>
    </w:p>
    <w:tbl>
      <w:tblPr>
        <w:tblW w:w="12904" w:type="dxa"/>
        <w:jc w:val="start"/>
        <w:tblInd w:w="-5" w:type="dxa"/>
        <w:tblLayout w:type="fixed"/>
        <w:tblCellMar>
          <w:top w:w="58" w:type="dxa"/>
          <w:start w:w="58" w:type="dxa"/>
          <w:bottom w:w="58" w:type="dxa"/>
          <w:end w:w="58" w:type="dxa"/>
        </w:tblCellMar>
      </w:tblPr>
      <w:tblGrid>
        <w:gridCol w:w="377"/>
        <w:gridCol w:w="8361"/>
        <w:gridCol w:w="2829"/>
        <w:gridCol w:w="1337"/>
      </w:tblGrid>
      <w:tr>
        <w:trPr>
          <w:tblHeader w:val="true"/>
          <w:cantSplit/>
        </w:trPr>
        <w:tc>
          <w:tcPr>
            <w:tcW w:w="377" w:type="dxa"/>
            <w:tcBorders>
              <w:top w:val="single" w:sz="4" w:space="0" w:color="000000"/>
              <w:start w:val="single" w:sz="4" w:space="0" w:color="000000"/>
              <w:bottom w:val="single" w:sz="4" w:space="0" w:color="000000"/>
            </w:tcBorders>
            <w:vAlign w:val="center"/>
          </w:tcPr>
          <w:p>
            <w:pPr>
              <w:pStyle w:val="TableHeading"/>
              <w:rPr/>
            </w:pPr>
            <w:r>
              <w:rPr/>
              <w:t>#</w:t>
            </w:r>
          </w:p>
        </w:tc>
        <w:tc>
          <w:tcPr>
            <w:tcW w:w="8361" w:type="dxa"/>
            <w:tcBorders>
              <w:top w:val="single" w:sz="4" w:space="0" w:color="000000"/>
              <w:start w:val="single" w:sz="4" w:space="0" w:color="000000"/>
              <w:bottom w:val="single" w:sz="4" w:space="0" w:color="000000"/>
            </w:tcBorders>
            <w:vAlign w:val="center"/>
          </w:tcPr>
          <w:p>
            <w:pPr>
              <w:pStyle w:val="TableHeading"/>
              <w:rPr/>
            </w:pPr>
            <w:r>
              <w:rPr/>
              <w:t>Issue</w:t>
            </w:r>
          </w:p>
        </w:tc>
        <w:tc>
          <w:tcPr>
            <w:tcW w:w="2829" w:type="dxa"/>
            <w:tcBorders>
              <w:top w:val="single" w:sz="4" w:space="0" w:color="000000"/>
              <w:start w:val="single" w:sz="4" w:space="0" w:color="000000"/>
              <w:bottom w:val="single" w:sz="4" w:space="0" w:color="000000"/>
            </w:tcBorders>
            <w:vAlign w:val="center"/>
          </w:tcPr>
          <w:p>
            <w:pPr>
              <w:pStyle w:val="TableHeading"/>
              <w:rPr/>
            </w:pPr>
            <w:r>
              <w:rPr/>
              <w:t>Type</w:t>
            </w:r>
          </w:p>
        </w:tc>
        <w:tc>
          <w:tcPr>
            <w:tcW w:w="1337" w:type="dxa"/>
            <w:tcBorders>
              <w:top w:val="single" w:sz="4" w:space="0" w:color="000000"/>
              <w:start w:val="single" w:sz="4" w:space="0" w:color="000000"/>
              <w:bottom w:val="single" w:sz="4" w:space="0" w:color="000000"/>
              <w:end w:val="single" w:sz="4" w:space="0" w:color="000000"/>
            </w:tcBorders>
            <w:vAlign w:val="center"/>
          </w:tcPr>
          <w:p>
            <w:pPr>
              <w:pStyle w:val="TableHeading"/>
              <w:rPr/>
            </w:pPr>
            <w:r>
              <w:rPr/>
              <w:t>Priority</w:t>
            </w:r>
          </w:p>
        </w:tc>
      </w:tr>
      <w:tr>
        <w:trPr>
          <w:cantSplit/>
        </w:trPr>
        <w:tc>
          <w:tcPr>
            <w:tcW w:w="377" w:type="dxa"/>
            <w:tcBorders>
              <w:start w:val="single" w:sz="4" w:space="0" w:color="000000"/>
              <w:bottom w:val="single" w:sz="4" w:space="0" w:color="000000"/>
            </w:tcBorders>
            <w:vAlign w:val="center"/>
          </w:tcPr>
          <w:p>
            <w:pPr>
              <w:pStyle w:val="TableContents"/>
              <w:rPr/>
            </w:pPr>
            <w:r>
              <w:rPr/>
              <w:t>0</w:t>
            </w:r>
          </w:p>
        </w:tc>
        <w:tc>
          <w:tcPr>
            <w:tcW w:w="8361" w:type="dxa"/>
            <w:tcBorders>
              <w:start w:val="single" w:sz="4" w:space="0" w:color="000000"/>
              <w:bottom w:val="single" w:sz="4" w:space="0" w:color="000000"/>
            </w:tcBorders>
            <w:vAlign w:val="center"/>
          </w:tcPr>
          <w:p>
            <w:pPr>
              <w:pStyle w:val="TableContents"/>
              <w:rPr/>
            </w:pPr>
            <w:r>
              <w:rPr/>
              <w:t>Applicability Crisis — Phased Projects &amp; Townships</w:t>
            </w:r>
          </w:p>
        </w:tc>
        <w:tc>
          <w:tcPr>
            <w:tcW w:w="2829" w:type="dxa"/>
            <w:tcBorders>
              <w:start w:val="single" w:sz="4" w:space="0" w:color="000000"/>
              <w:bottom w:val="single" w:sz="4" w:space="0" w:color="000000"/>
            </w:tcBorders>
            <w:vAlign w:val="center"/>
          </w:tcPr>
          <w:p>
            <w:pPr>
              <w:pStyle w:val="TableContents"/>
              <w:rPr/>
            </w:pPr>
            <w:r>
              <w:rPr/>
              <w:t>Scope/Applicability</w:t>
            </w:r>
          </w:p>
        </w:tc>
        <w:tc>
          <w:tcPr>
            <w:tcW w:w="1337" w:type="dxa"/>
            <w:tcBorders>
              <w:start w:val="single" w:sz="4" w:space="0" w:color="000000"/>
              <w:bottom w:val="single" w:sz="4" w:space="0" w:color="000000"/>
              <w:end w:val="single" w:sz="4" w:space="0" w:color="000000"/>
            </w:tcBorders>
            <w:vAlign w:val="center"/>
          </w:tcPr>
          <w:p>
            <w:pPr>
              <w:pStyle w:val="TableContents"/>
              <w:rPr/>
            </w:pPr>
            <w:r>
              <w:rPr>
                <w:rStyle w:val="Strong"/>
              </w:rPr>
              <w:t>HIGHEST</w:t>
            </w:r>
          </w:p>
        </w:tc>
      </w:tr>
      <w:tr>
        <w:trPr>
          <w:cantSplit/>
        </w:trPr>
        <w:tc>
          <w:tcPr>
            <w:tcW w:w="377" w:type="dxa"/>
            <w:tcBorders>
              <w:start w:val="single" w:sz="4" w:space="0" w:color="000000"/>
              <w:bottom w:val="single" w:sz="4" w:space="0" w:color="000000"/>
            </w:tcBorders>
            <w:vAlign w:val="center"/>
          </w:tcPr>
          <w:p>
            <w:pPr>
              <w:pStyle w:val="TableContents"/>
              <w:rPr/>
            </w:pPr>
            <w:r>
              <w:rPr/>
              <w:t>1</w:t>
            </w:r>
          </w:p>
        </w:tc>
        <w:tc>
          <w:tcPr>
            <w:tcW w:w="8361" w:type="dxa"/>
            <w:tcBorders>
              <w:start w:val="single" w:sz="4" w:space="0" w:color="000000"/>
              <w:bottom w:val="single" w:sz="4" w:space="0" w:color="000000"/>
            </w:tcBorders>
            <w:vAlign w:val="center"/>
          </w:tcPr>
          <w:p>
            <w:pPr>
              <w:pStyle w:val="TableContents"/>
              <w:rPr/>
            </w:pPr>
            <w:r>
              <w:rPr/>
              <w:t>Constitutional repugnancy with RERA on land definition and transfer of management</w:t>
            </w:r>
          </w:p>
        </w:tc>
        <w:tc>
          <w:tcPr>
            <w:tcW w:w="2829" w:type="dxa"/>
            <w:tcBorders>
              <w:start w:val="single" w:sz="4" w:space="0" w:color="000000"/>
              <w:bottom w:val="single" w:sz="4" w:space="0" w:color="000000"/>
            </w:tcBorders>
            <w:vAlign w:val="center"/>
          </w:tcPr>
          <w:p>
            <w:pPr>
              <w:pStyle w:val="TableContents"/>
              <w:rPr/>
            </w:pPr>
            <w:r>
              <w:rPr/>
              <w:t>Constitutional</w:t>
            </w:r>
          </w:p>
        </w:tc>
        <w:tc>
          <w:tcPr>
            <w:tcW w:w="1337" w:type="dxa"/>
            <w:tcBorders>
              <w:start w:val="single" w:sz="4" w:space="0" w:color="000000"/>
              <w:bottom w:val="single" w:sz="4" w:space="0" w:color="000000"/>
              <w:end w:val="single" w:sz="4" w:space="0" w:color="000000"/>
            </w:tcBorders>
            <w:vAlign w:val="center"/>
          </w:tcPr>
          <w:p>
            <w:pPr>
              <w:pStyle w:val="TableContents"/>
              <w:rPr/>
            </w:pPr>
            <w:r>
              <w:rPr>
                <w:rStyle w:val="Strong"/>
              </w:rPr>
              <w:t>CRITICAL</w:t>
            </w:r>
          </w:p>
        </w:tc>
      </w:tr>
      <w:tr>
        <w:trPr>
          <w:cantSplit/>
        </w:trPr>
        <w:tc>
          <w:tcPr>
            <w:tcW w:w="377" w:type="dxa"/>
            <w:tcBorders>
              <w:start w:val="single" w:sz="4" w:space="0" w:color="000000"/>
              <w:bottom w:val="single" w:sz="4" w:space="0" w:color="000000"/>
            </w:tcBorders>
            <w:vAlign w:val="center"/>
          </w:tcPr>
          <w:p>
            <w:pPr>
              <w:pStyle w:val="TableContents"/>
              <w:rPr/>
            </w:pPr>
            <w:r>
              <w:rPr/>
              <w:t>2</w:t>
            </w:r>
          </w:p>
        </w:tc>
        <w:tc>
          <w:tcPr>
            <w:tcW w:w="8361" w:type="dxa"/>
            <w:tcBorders>
              <w:start w:val="single" w:sz="4" w:space="0" w:color="000000"/>
              <w:bottom w:val="single" w:sz="4" w:space="0" w:color="000000"/>
            </w:tcBorders>
            <w:vAlign w:val="center"/>
          </w:tcPr>
          <w:p>
            <w:pPr>
              <w:pStyle w:val="TableContents"/>
              <w:rPr/>
            </w:pPr>
            <w:r>
              <w:rPr/>
              <w:t>No cross-verification with RERA — promoter can submit different documents</w:t>
            </w:r>
          </w:p>
        </w:tc>
        <w:tc>
          <w:tcPr>
            <w:tcW w:w="2829" w:type="dxa"/>
            <w:tcBorders>
              <w:start w:val="single" w:sz="4" w:space="0" w:color="000000"/>
              <w:bottom w:val="single" w:sz="4" w:space="0" w:color="000000"/>
            </w:tcBorders>
            <w:vAlign w:val="center"/>
          </w:tcPr>
          <w:p>
            <w:pPr>
              <w:pStyle w:val="TableContents"/>
              <w:rPr/>
            </w:pPr>
            <w:r>
              <w:rPr/>
              <w:t>RERA/Cross-Verification</w:t>
            </w:r>
          </w:p>
        </w:tc>
        <w:tc>
          <w:tcPr>
            <w:tcW w:w="1337" w:type="dxa"/>
            <w:tcBorders>
              <w:start w:val="single" w:sz="4" w:space="0" w:color="000000"/>
              <w:bottom w:val="single" w:sz="4" w:space="0" w:color="000000"/>
              <w:end w:val="single" w:sz="4" w:space="0" w:color="000000"/>
            </w:tcBorders>
            <w:vAlign w:val="center"/>
          </w:tcPr>
          <w:p>
            <w:pPr>
              <w:pStyle w:val="TableContents"/>
              <w:rPr/>
            </w:pPr>
            <w:r>
              <w:rPr>
                <w:rStyle w:val="Strong"/>
              </w:rPr>
              <w:t>CRITICAL</w:t>
            </w:r>
          </w:p>
        </w:tc>
      </w:tr>
      <w:tr>
        <w:trPr>
          <w:cantSplit/>
        </w:trPr>
        <w:tc>
          <w:tcPr>
            <w:tcW w:w="377" w:type="dxa"/>
            <w:tcBorders>
              <w:start w:val="single" w:sz="4" w:space="0" w:color="000000"/>
              <w:bottom w:val="single" w:sz="4" w:space="0" w:color="000000"/>
            </w:tcBorders>
            <w:vAlign w:val="center"/>
          </w:tcPr>
          <w:p>
            <w:pPr>
              <w:pStyle w:val="TableContents"/>
              <w:rPr/>
            </w:pPr>
            <w:r>
              <w:rPr/>
              <w:t>3</w:t>
            </w:r>
          </w:p>
        </w:tc>
        <w:tc>
          <w:tcPr>
            <w:tcW w:w="8361" w:type="dxa"/>
            <w:tcBorders>
              <w:start w:val="single" w:sz="4" w:space="0" w:color="000000"/>
              <w:bottom w:val="single" w:sz="4" w:space="0" w:color="000000"/>
            </w:tcBorders>
            <w:vAlign w:val="center"/>
          </w:tcPr>
          <w:p>
            <w:pPr>
              <w:pStyle w:val="TableContents"/>
              <w:rPr/>
            </w:pPr>
            <w:r>
              <w:rPr/>
              <w:t>Tax and title ambiguity — #10(3) vs #56 contradiction</w:t>
            </w:r>
          </w:p>
        </w:tc>
        <w:tc>
          <w:tcPr>
            <w:tcW w:w="2829" w:type="dxa"/>
            <w:tcBorders>
              <w:start w:val="single" w:sz="4" w:space="0" w:color="000000"/>
              <w:bottom w:val="single" w:sz="4" w:space="0" w:color="000000"/>
            </w:tcBorders>
            <w:vAlign w:val="center"/>
          </w:tcPr>
          <w:p>
            <w:pPr>
              <w:pStyle w:val="TableContents"/>
              <w:rPr/>
            </w:pPr>
            <w:r>
              <w:rPr/>
              <w:t>Constitutional/Statutory</w:t>
            </w:r>
          </w:p>
        </w:tc>
        <w:tc>
          <w:tcPr>
            <w:tcW w:w="1337" w:type="dxa"/>
            <w:tcBorders>
              <w:start w:val="single" w:sz="4" w:space="0" w:color="000000"/>
              <w:bottom w:val="single" w:sz="4" w:space="0" w:color="000000"/>
              <w:end w:val="single" w:sz="4" w:space="0" w:color="000000"/>
            </w:tcBorders>
            <w:vAlign w:val="center"/>
          </w:tcPr>
          <w:p>
            <w:pPr>
              <w:pStyle w:val="TableContents"/>
              <w:rPr/>
            </w:pPr>
            <w:r>
              <w:rPr>
                <w:rStyle w:val="Strong"/>
              </w:rPr>
              <w:t>CRITICAL</w:t>
            </w:r>
          </w:p>
        </w:tc>
      </w:tr>
      <w:tr>
        <w:trPr>
          <w:cantSplit/>
        </w:trPr>
        <w:tc>
          <w:tcPr>
            <w:tcW w:w="377" w:type="dxa"/>
            <w:tcBorders>
              <w:start w:val="single" w:sz="4" w:space="0" w:color="000000"/>
              <w:bottom w:val="single" w:sz="4" w:space="0" w:color="000000"/>
            </w:tcBorders>
            <w:vAlign w:val="center"/>
          </w:tcPr>
          <w:p>
            <w:pPr>
              <w:pStyle w:val="TableContents"/>
              <w:rPr/>
            </w:pPr>
            <w:r>
              <w:rPr/>
              <w:t>4</w:t>
            </w:r>
          </w:p>
        </w:tc>
        <w:tc>
          <w:tcPr>
            <w:tcW w:w="8361" w:type="dxa"/>
            <w:tcBorders>
              <w:start w:val="single" w:sz="4" w:space="0" w:color="000000"/>
              <w:bottom w:val="single" w:sz="4" w:space="0" w:color="000000"/>
            </w:tcBorders>
            <w:vAlign w:val="center"/>
          </w:tcPr>
          <w:p>
            <w:pPr>
              <w:pStyle w:val="TableContents"/>
              <w:rPr/>
            </w:pPr>
            <w:r>
              <w:rPr/>
              <w:t>The 33% UDI loophole — "whatever percent" manipulation</w:t>
            </w:r>
          </w:p>
        </w:tc>
        <w:tc>
          <w:tcPr>
            <w:tcW w:w="2829" w:type="dxa"/>
            <w:tcBorders>
              <w:start w:val="single" w:sz="4" w:space="0" w:color="000000"/>
              <w:bottom w:val="single" w:sz="4" w:space="0" w:color="000000"/>
            </w:tcBorders>
            <w:vAlign w:val="center"/>
          </w:tcPr>
          <w:p>
            <w:pPr>
              <w:pStyle w:val="TableContents"/>
              <w:rPr/>
            </w:pPr>
            <w:r>
              <w:rPr/>
              <w:t>Definitional/UDI</w:t>
            </w:r>
          </w:p>
        </w:tc>
        <w:tc>
          <w:tcPr>
            <w:tcW w:w="1337" w:type="dxa"/>
            <w:tcBorders>
              <w:start w:val="single" w:sz="4" w:space="0" w:color="000000"/>
              <w:bottom w:val="single" w:sz="4" w:space="0" w:color="000000"/>
              <w:end w:val="single" w:sz="4" w:space="0" w:color="000000"/>
            </w:tcBorders>
            <w:vAlign w:val="center"/>
          </w:tcPr>
          <w:p>
            <w:pPr>
              <w:pStyle w:val="TableContents"/>
              <w:rPr/>
            </w:pPr>
            <w:r>
              <w:rPr>
                <w:rStyle w:val="Strong"/>
              </w:rPr>
              <w:t>CRITICAL</w:t>
            </w:r>
          </w:p>
        </w:tc>
      </w:tr>
      <w:tr>
        <w:trPr>
          <w:cantSplit/>
        </w:trPr>
        <w:tc>
          <w:tcPr>
            <w:tcW w:w="377" w:type="dxa"/>
            <w:tcBorders>
              <w:start w:val="single" w:sz="4" w:space="0" w:color="000000"/>
              <w:bottom w:val="single" w:sz="4" w:space="0" w:color="000000"/>
            </w:tcBorders>
            <w:vAlign w:val="center"/>
          </w:tcPr>
          <w:p>
            <w:pPr>
              <w:pStyle w:val="TableContents"/>
              <w:rPr/>
            </w:pPr>
            <w:r>
              <w:rPr/>
              <w:t>5</w:t>
            </w:r>
          </w:p>
        </w:tc>
        <w:tc>
          <w:tcPr>
            <w:tcW w:w="8361" w:type="dxa"/>
            <w:tcBorders>
              <w:start w:val="single" w:sz="4" w:space="0" w:color="000000"/>
              <w:bottom w:val="single" w:sz="4" w:space="0" w:color="000000"/>
            </w:tcBorders>
            <w:vAlign w:val="center"/>
          </w:tcPr>
          <w:p>
            <w:pPr>
              <w:pStyle w:val="TableContents"/>
              <w:rPr/>
            </w:pPr>
            <w:r>
              <w:rPr/>
              <w:t>DoD after OC — allows fraud during construction</w:t>
            </w:r>
          </w:p>
        </w:tc>
        <w:tc>
          <w:tcPr>
            <w:tcW w:w="2829" w:type="dxa"/>
            <w:tcBorders>
              <w:start w:val="single" w:sz="4" w:space="0" w:color="000000"/>
              <w:bottom w:val="single" w:sz="4" w:space="0" w:color="000000"/>
            </w:tcBorders>
            <w:vAlign w:val="center"/>
          </w:tcPr>
          <w:p>
            <w:pPr>
              <w:pStyle w:val="TableContents"/>
              <w:rPr/>
            </w:pPr>
            <w:r>
              <w:rPr/>
              <w:t>Procedural/Timing</w:t>
            </w:r>
          </w:p>
        </w:tc>
        <w:tc>
          <w:tcPr>
            <w:tcW w:w="1337" w:type="dxa"/>
            <w:tcBorders>
              <w:start w:val="single" w:sz="4" w:space="0" w:color="000000"/>
              <w:bottom w:val="single" w:sz="4" w:space="0" w:color="000000"/>
              <w:end w:val="single" w:sz="4" w:space="0" w:color="000000"/>
            </w:tcBorders>
            <w:vAlign w:val="center"/>
          </w:tcPr>
          <w:p>
            <w:pPr>
              <w:pStyle w:val="TableContents"/>
              <w:rPr/>
            </w:pPr>
            <w:r>
              <w:rPr>
                <w:rStyle w:val="Strong"/>
              </w:rPr>
              <w:t>CRITICAL</w:t>
            </w:r>
          </w:p>
        </w:tc>
      </w:tr>
      <w:tr>
        <w:trPr>
          <w:cantSplit/>
        </w:trPr>
        <w:tc>
          <w:tcPr>
            <w:tcW w:w="377" w:type="dxa"/>
            <w:tcBorders>
              <w:start w:val="single" w:sz="4" w:space="0" w:color="000000"/>
              <w:bottom w:val="single" w:sz="4" w:space="0" w:color="000000"/>
            </w:tcBorders>
            <w:vAlign w:val="center"/>
          </w:tcPr>
          <w:p>
            <w:pPr>
              <w:pStyle w:val="TableContents"/>
              <w:rPr/>
            </w:pPr>
            <w:r>
              <w:rPr/>
              <w:t>6</w:t>
            </w:r>
          </w:p>
        </w:tc>
        <w:tc>
          <w:tcPr>
            <w:tcW w:w="8361" w:type="dxa"/>
            <w:tcBorders>
              <w:start w:val="single" w:sz="4" w:space="0" w:color="000000"/>
              <w:bottom w:val="single" w:sz="4" w:space="0" w:color="000000"/>
            </w:tcBorders>
            <w:vAlign w:val="center"/>
          </w:tcPr>
          <w:p>
            <w:pPr>
              <w:pStyle w:val="TableContents"/>
              <w:rPr/>
            </w:pPr>
            <w:r>
              <w:rPr/>
              <w:t>Residential character removed — change-of-use restriction needed</w:t>
            </w:r>
          </w:p>
        </w:tc>
        <w:tc>
          <w:tcPr>
            <w:tcW w:w="2829" w:type="dxa"/>
            <w:tcBorders>
              <w:start w:val="single" w:sz="4" w:space="0" w:color="000000"/>
              <w:bottom w:val="single" w:sz="4" w:space="0" w:color="000000"/>
            </w:tcBorders>
            <w:vAlign w:val="center"/>
          </w:tcPr>
          <w:p>
            <w:pPr>
              <w:pStyle w:val="TableContents"/>
              <w:rPr/>
            </w:pPr>
            <w:r>
              <w:rPr/>
              <w:t>Commercial/Quality of Life</w:t>
            </w:r>
          </w:p>
        </w:tc>
        <w:tc>
          <w:tcPr>
            <w:tcW w:w="1337" w:type="dxa"/>
            <w:tcBorders>
              <w:start w:val="single" w:sz="4" w:space="0" w:color="000000"/>
              <w:bottom w:val="single" w:sz="4" w:space="0" w:color="000000"/>
              <w:end w:val="single" w:sz="4" w:space="0" w:color="000000"/>
            </w:tcBorders>
            <w:vAlign w:val="center"/>
          </w:tcPr>
          <w:p>
            <w:pPr>
              <w:pStyle w:val="TableContents"/>
              <w:rPr/>
            </w:pPr>
            <w:r>
              <w:rPr>
                <w:rStyle w:val="Strong"/>
              </w:rPr>
              <w:t>CRITICAL</w:t>
            </w:r>
          </w:p>
        </w:tc>
      </w:tr>
      <w:tr>
        <w:trPr>
          <w:cantSplit/>
        </w:trPr>
        <w:tc>
          <w:tcPr>
            <w:tcW w:w="377" w:type="dxa"/>
            <w:tcBorders>
              <w:start w:val="single" w:sz="4" w:space="0" w:color="000000"/>
              <w:bottom w:val="single" w:sz="4" w:space="0" w:color="000000"/>
            </w:tcBorders>
            <w:vAlign w:val="center"/>
          </w:tcPr>
          <w:p>
            <w:pPr>
              <w:pStyle w:val="TableContents"/>
              <w:rPr/>
            </w:pPr>
            <w:r>
              <w:rPr/>
              <w:t>7</w:t>
            </w:r>
          </w:p>
        </w:tc>
        <w:tc>
          <w:tcPr>
            <w:tcW w:w="8361" w:type="dxa"/>
            <w:tcBorders>
              <w:start w:val="single" w:sz="4" w:space="0" w:color="000000"/>
              <w:bottom w:val="single" w:sz="4" w:space="0" w:color="000000"/>
            </w:tcBorders>
            <w:vAlign w:val="center"/>
          </w:tcPr>
          <w:p>
            <w:pPr>
              <w:pStyle w:val="TableContents"/>
              <w:rPr/>
            </w:pPr>
            <w:r>
              <w:rPr/>
              <w:t>Redevelopment deadlock — bundled vote + 2x multiplier</w:t>
            </w:r>
          </w:p>
        </w:tc>
        <w:tc>
          <w:tcPr>
            <w:tcW w:w="2829" w:type="dxa"/>
            <w:tcBorders>
              <w:start w:val="single" w:sz="4" w:space="0" w:color="000000"/>
              <w:bottom w:val="single" w:sz="4" w:space="0" w:color="000000"/>
            </w:tcBorders>
            <w:vAlign w:val="center"/>
          </w:tcPr>
          <w:p>
            <w:pPr>
              <w:pStyle w:val="TableContents"/>
              <w:rPr/>
            </w:pPr>
            <w:r>
              <w:rPr/>
              <w:t>Redevelopment</w:t>
            </w:r>
          </w:p>
        </w:tc>
        <w:tc>
          <w:tcPr>
            <w:tcW w:w="1337" w:type="dxa"/>
            <w:tcBorders>
              <w:start w:val="single" w:sz="4" w:space="0" w:color="000000"/>
              <w:bottom w:val="single" w:sz="4" w:space="0" w:color="000000"/>
              <w:end w:val="single" w:sz="4" w:space="0" w:color="000000"/>
            </w:tcBorders>
            <w:vAlign w:val="center"/>
          </w:tcPr>
          <w:p>
            <w:pPr>
              <w:pStyle w:val="TableContents"/>
              <w:rPr/>
            </w:pPr>
            <w:r>
              <w:rPr>
                <w:rStyle w:val="Strong"/>
              </w:rPr>
              <w:t>CRITICAL</w:t>
            </w:r>
          </w:p>
        </w:tc>
      </w:tr>
      <w:tr>
        <w:trPr>
          <w:cantSplit/>
        </w:trPr>
        <w:tc>
          <w:tcPr>
            <w:tcW w:w="377" w:type="dxa"/>
            <w:tcBorders>
              <w:start w:val="single" w:sz="4" w:space="0" w:color="000000"/>
              <w:bottom w:val="single" w:sz="4" w:space="0" w:color="000000"/>
            </w:tcBorders>
            <w:vAlign w:val="center"/>
          </w:tcPr>
          <w:p>
            <w:pPr>
              <w:pStyle w:val="TableContents"/>
              <w:rPr/>
            </w:pPr>
            <w:r>
              <w:rPr/>
              <w:t>8</w:t>
            </w:r>
          </w:p>
        </w:tc>
        <w:tc>
          <w:tcPr>
            <w:tcW w:w="8361" w:type="dxa"/>
            <w:tcBorders>
              <w:start w:val="single" w:sz="4" w:space="0" w:color="000000"/>
              <w:bottom w:val="single" w:sz="4" w:space="0" w:color="000000"/>
            </w:tcBorders>
            <w:vAlign w:val="center"/>
          </w:tcPr>
          <w:p>
            <w:pPr>
              <w:pStyle w:val="TableContents"/>
              <w:rPr/>
            </w:pPr>
            <w:r>
              <w:rPr/>
              <w:t>CA lacks legal qualifications — administrative officers adjudicating legal disputes</w:t>
            </w:r>
          </w:p>
        </w:tc>
        <w:tc>
          <w:tcPr>
            <w:tcW w:w="2829" w:type="dxa"/>
            <w:tcBorders>
              <w:start w:val="single" w:sz="4" w:space="0" w:color="000000"/>
              <w:bottom w:val="single" w:sz="4" w:space="0" w:color="000000"/>
            </w:tcBorders>
            <w:vAlign w:val="center"/>
          </w:tcPr>
          <w:p>
            <w:pPr>
              <w:pStyle w:val="TableContents"/>
              <w:rPr/>
            </w:pPr>
            <w:r>
              <w:rPr/>
              <w:t>Judicial/Qualifications</w:t>
            </w:r>
          </w:p>
        </w:tc>
        <w:tc>
          <w:tcPr>
            <w:tcW w:w="1337" w:type="dxa"/>
            <w:tcBorders>
              <w:start w:val="single" w:sz="4" w:space="0" w:color="000000"/>
              <w:bottom w:val="single" w:sz="4" w:space="0" w:color="000000"/>
              <w:end w:val="single" w:sz="4" w:space="0" w:color="000000"/>
            </w:tcBorders>
            <w:vAlign w:val="center"/>
          </w:tcPr>
          <w:p>
            <w:pPr>
              <w:pStyle w:val="TableContents"/>
              <w:rPr/>
            </w:pPr>
            <w:r>
              <w:rPr>
                <w:rStyle w:val="Strong"/>
              </w:rPr>
              <w:t>CRITICAL</w:t>
            </w:r>
          </w:p>
        </w:tc>
      </w:tr>
      <w:tr>
        <w:trPr>
          <w:cantSplit/>
        </w:trPr>
        <w:tc>
          <w:tcPr>
            <w:tcW w:w="377" w:type="dxa"/>
            <w:tcBorders>
              <w:start w:val="single" w:sz="4" w:space="0" w:color="000000"/>
              <w:bottom w:val="single" w:sz="4" w:space="0" w:color="000000"/>
            </w:tcBorders>
            <w:vAlign w:val="center"/>
          </w:tcPr>
          <w:p>
            <w:pPr>
              <w:pStyle w:val="TableContents"/>
              <w:rPr/>
            </w:pPr>
            <w:r>
              <w:rPr/>
              <w:t>9</w:t>
            </w:r>
          </w:p>
        </w:tc>
        <w:tc>
          <w:tcPr>
            <w:tcW w:w="8361" w:type="dxa"/>
            <w:tcBorders>
              <w:start w:val="single" w:sz="4" w:space="0" w:color="000000"/>
              <w:bottom w:val="single" w:sz="4" w:space="0" w:color="000000"/>
            </w:tcBorders>
            <w:vAlign w:val="center"/>
          </w:tcPr>
          <w:p>
            <w:pPr>
              <w:pStyle w:val="TableContents"/>
              <w:rPr/>
            </w:pPr>
            <w:r>
              <w:rPr/>
              <w:t>Passive Competent Authority — "file and forget" culture continues</w:t>
            </w:r>
          </w:p>
        </w:tc>
        <w:tc>
          <w:tcPr>
            <w:tcW w:w="2829" w:type="dxa"/>
            <w:tcBorders>
              <w:start w:val="single" w:sz="4" w:space="0" w:color="000000"/>
              <w:bottom w:val="single" w:sz="4" w:space="0" w:color="000000"/>
            </w:tcBorders>
            <w:vAlign w:val="center"/>
          </w:tcPr>
          <w:p>
            <w:pPr>
              <w:pStyle w:val="TableContents"/>
              <w:rPr/>
            </w:pPr>
            <w:r>
              <w:rPr/>
              <w:t>Enforcement</w:t>
            </w:r>
          </w:p>
        </w:tc>
        <w:tc>
          <w:tcPr>
            <w:tcW w:w="1337" w:type="dxa"/>
            <w:tcBorders>
              <w:start w:val="single" w:sz="4" w:space="0" w:color="000000"/>
              <w:bottom w:val="single" w:sz="4" w:space="0" w:color="000000"/>
              <w:end w:val="single" w:sz="4" w:space="0" w:color="000000"/>
            </w:tcBorders>
            <w:vAlign w:val="center"/>
          </w:tcPr>
          <w:p>
            <w:pPr>
              <w:pStyle w:val="TableContents"/>
              <w:rPr/>
            </w:pPr>
            <w:r>
              <w:rPr>
                <w:rStyle w:val="Strong"/>
              </w:rPr>
              <w:t>CRITICAL</w:t>
            </w:r>
          </w:p>
        </w:tc>
      </w:tr>
      <w:tr>
        <w:trPr>
          <w:cantSplit/>
        </w:trPr>
        <w:tc>
          <w:tcPr>
            <w:tcW w:w="377" w:type="dxa"/>
            <w:tcBorders>
              <w:start w:val="single" w:sz="4" w:space="0" w:color="000000"/>
              <w:bottom w:val="single" w:sz="4" w:space="0" w:color="000000"/>
            </w:tcBorders>
            <w:vAlign w:val="center"/>
          </w:tcPr>
          <w:p>
            <w:pPr>
              <w:pStyle w:val="TableContents"/>
              <w:rPr/>
            </w:pPr>
            <w:r>
              <w:rPr/>
              <w:t>10</w:t>
            </w:r>
          </w:p>
        </w:tc>
        <w:tc>
          <w:tcPr>
            <w:tcW w:w="8361" w:type="dxa"/>
            <w:tcBorders>
              <w:start w:val="single" w:sz="4" w:space="0" w:color="000000"/>
              <w:bottom w:val="single" w:sz="4" w:space="0" w:color="000000"/>
            </w:tcBorders>
            <w:vAlign w:val="center"/>
          </w:tcPr>
          <w:p>
            <w:pPr>
              <w:pStyle w:val="TableContents"/>
              <w:rPr/>
            </w:pPr>
            <w:r>
              <w:rPr/>
              <w:t>Penalties for CA inaction — no accountability</w:t>
            </w:r>
          </w:p>
        </w:tc>
        <w:tc>
          <w:tcPr>
            <w:tcW w:w="2829" w:type="dxa"/>
            <w:tcBorders>
              <w:start w:val="single" w:sz="4" w:space="0" w:color="000000"/>
              <w:bottom w:val="single" w:sz="4" w:space="0" w:color="000000"/>
            </w:tcBorders>
            <w:vAlign w:val="center"/>
          </w:tcPr>
          <w:p>
            <w:pPr>
              <w:pStyle w:val="TableContents"/>
              <w:rPr/>
            </w:pPr>
            <w:r>
              <w:rPr/>
              <w:t>Enforcement</w:t>
            </w:r>
          </w:p>
        </w:tc>
        <w:tc>
          <w:tcPr>
            <w:tcW w:w="1337" w:type="dxa"/>
            <w:tcBorders>
              <w:start w:val="single" w:sz="4" w:space="0" w:color="000000"/>
              <w:bottom w:val="single" w:sz="4" w:space="0" w:color="000000"/>
              <w:end w:val="single" w:sz="4" w:space="0" w:color="000000"/>
            </w:tcBorders>
            <w:vAlign w:val="center"/>
          </w:tcPr>
          <w:p>
            <w:pPr>
              <w:pStyle w:val="TableContents"/>
              <w:rPr/>
            </w:pPr>
            <w:r>
              <w:rPr>
                <w:rStyle w:val="Strong"/>
              </w:rPr>
              <w:t>CRITICAL</w:t>
            </w:r>
          </w:p>
        </w:tc>
      </w:tr>
      <w:tr>
        <w:trPr>
          <w:cantSplit/>
        </w:trPr>
        <w:tc>
          <w:tcPr>
            <w:tcW w:w="377" w:type="dxa"/>
            <w:tcBorders>
              <w:start w:val="single" w:sz="4" w:space="0" w:color="000000"/>
              <w:bottom w:val="single" w:sz="4" w:space="0" w:color="000000"/>
            </w:tcBorders>
            <w:vAlign w:val="center"/>
          </w:tcPr>
          <w:p>
            <w:pPr>
              <w:pStyle w:val="TableContents"/>
              <w:rPr/>
            </w:pPr>
            <w:r>
              <w:rPr/>
              <w:t>11</w:t>
            </w:r>
          </w:p>
        </w:tc>
        <w:tc>
          <w:tcPr>
            <w:tcW w:w="8361" w:type="dxa"/>
            <w:tcBorders>
              <w:start w:val="single" w:sz="4" w:space="0" w:color="000000"/>
              <w:bottom w:val="single" w:sz="4" w:space="0" w:color="000000"/>
            </w:tcBorders>
            <w:vAlign w:val="center"/>
          </w:tcPr>
          <w:p>
            <w:pPr>
              <w:pStyle w:val="TableContents"/>
              <w:rPr/>
            </w:pPr>
            <w:r>
              <w:rPr/>
              <w:t>Electronic democracy gap — NRIs and remote owners disenfranchised</w:t>
            </w:r>
          </w:p>
        </w:tc>
        <w:tc>
          <w:tcPr>
            <w:tcW w:w="2829" w:type="dxa"/>
            <w:tcBorders>
              <w:start w:val="single" w:sz="4" w:space="0" w:color="000000"/>
              <w:bottom w:val="single" w:sz="4" w:space="0" w:color="000000"/>
            </w:tcBorders>
            <w:vAlign w:val="center"/>
          </w:tcPr>
          <w:p>
            <w:pPr>
              <w:pStyle w:val="TableContents"/>
              <w:rPr/>
            </w:pPr>
            <w:r>
              <w:rPr/>
              <w:t>Electronic/Virtual</w:t>
            </w:r>
          </w:p>
        </w:tc>
        <w:tc>
          <w:tcPr>
            <w:tcW w:w="1337" w:type="dxa"/>
            <w:tcBorders>
              <w:start w:val="single" w:sz="4" w:space="0" w:color="000000"/>
              <w:bottom w:val="single" w:sz="4" w:space="0" w:color="000000"/>
              <w:end w:val="single" w:sz="4" w:space="0" w:color="000000"/>
            </w:tcBorders>
            <w:vAlign w:val="center"/>
          </w:tcPr>
          <w:p>
            <w:pPr>
              <w:pStyle w:val="TableContents"/>
              <w:rPr/>
            </w:pPr>
            <w:r>
              <w:rPr>
                <w:rStyle w:val="Strong"/>
              </w:rPr>
              <w:t>HIGH</w:t>
            </w:r>
          </w:p>
        </w:tc>
      </w:tr>
      <w:tr>
        <w:trPr>
          <w:cantSplit/>
        </w:trPr>
        <w:tc>
          <w:tcPr>
            <w:tcW w:w="377" w:type="dxa"/>
            <w:tcBorders>
              <w:start w:val="single" w:sz="4" w:space="0" w:color="000000"/>
              <w:bottom w:val="single" w:sz="4" w:space="0" w:color="000000"/>
            </w:tcBorders>
            <w:vAlign w:val="center"/>
          </w:tcPr>
          <w:p>
            <w:pPr>
              <w:pStyle w:val="TableContents"/>
              <w:rPr/>
            </w:pPr>
            <w:r>
              <w:rPr/>
              <w:t>12</w:t>
            </w:r>
          </w:p>
        </w:tc>
        <w:tc>
          <w:tcPr>
            <w:tcW w:w="8361" w:type="dxa"/>
            <w:tcBorders>
              <w:start w:val="single" w:sz="4" w:space="0" w:color="000000"/>
              <w:bottom w:val="single" w:sz="4" w:space="0" w:color="000000"/>
            </w:tcBorders>
            <w:vAlign w:val="center"/>
          </w:tcPr>
          <w:p>
            <w:pPr>
              <w:pStyle w:val="TableContents"/>
              <w:rPr/>
            </w:pPr>
            <w:r>
              <w:rPr/>
              <w:t>LCA — define (used throughout but never defined)</w:t>
            </w:r>
          </w:p>
        </w:tc>
        <w:tc>
          <w:tcPr>
            <w:tcW w:w="2829" w:type="dxa"/>
            <w:tcBorders>
              <w:start w:val="single" w:sz="4" w:space="0" w:color="000000"/>
              <w:bottom w:val="single" w:sz="4" w:space="0" w:color="000000"/>
            </w:tcBorders>
            <w:vAlign w:val="center"/>
          </w:tcPr>
          <w:p>
            <w:pPr>
              <w:pStyle w:val="TableContents"/>
              <w:rPr/>
            </w:pPr>
            <w:r>
              <w:rPr/>
              <w:t>Definitional</w:t>
            </w:r>
          </w:p>
        </w:tc>
        <w:tc>
          <w:tcPr>
            <w:tcW w:w="1337" w:type="dxa"/>
            <w:tcBorders>
              <w:start w:val="single" w:sz="4" w:space="0" w:color="000000"/>
              <w:bottom w:val="single" w:sz="4" w:space="0" w:color="000000"/>
              <w:end w:val="single" w:sz="4" w:space="0" w:color="000000"/>
            </w:tcBorders>
            <w:vAlign w:val="center"/>
          </w:tcPr>
          <w:p>
            <w:pPr>
              <w:pStyle w:val="TableContents"/>
              <w:rPr/>
            </w:pPr>
            <w:r>
              <w:rPr>
                <w:rStyle w:val="Strong"/>
              </w:rPr>
              <w:t>CRITICAL</w:t>
            </w:r>
          </w:p>
        </w:tc>
      </w:tr>
    </w:tbl>
    <w:p>
      <w:pPr>
        <w:pStyle w:val="HorizontalLine"/>
        <w:rPr/>
      </w:pPr>
      <w:r>
        <w:rPr/>
      </w:r>
    </w:p>
    <w:p>
      <w:pPr>
        <w:pStyle w:val="BodyText"/>
        <w:rPr/>
      </w:pPr>
      <w:r>
        <w:rPr>
          <w:rStyle w:val="Strong"/>
        </w:rPr>
        <w:t>The KAOMA Bill is a significant improvement over the 1972-era laws. However, without these amendments, it will become KAOA 2.0—a well-intentioned law that cannot be enforced because the Competent Authority lacks the mandate, resources, and accountability to perform its duties.</w:t>
      </w:r>
    </w:p>
    <w:p>
      <w:pPr>
        <w:pStyle w:val="BodyText"/>
        <w:rPr/>
      </w:pPr>
      <w:r>
        <w:rPr>
          <w:rStyle w:val="Strong"/>
        </w:rPr>
        <w:t>The apartment owners of Karnataka deserve a law that protects their property rights, ensures transparent governance, and holds promoters and associations accountable. These amendments are essential to achieve that goal.</w:t>
      </w:r>
    </w:p>
    <w:p>
      <w:pPr>
        <w:pStyle w:val="BodyText"/>
        <w:numPr>
          <w:ilvl w:val="0"/>
          <w:numId w:val="2"/>
        </w:numPr>
        <w:spacing w:before="0" w:after="140"/>
        <w:rPr/>
      </w:pPr>
      <w:r>
        <w:rPr/>
      </w:r>
    </w:p>
    <w:sectPr>
      <w:type w:val="nextPage"/>
      <w:pgSz w:w="11906" w:h="16838"/>
      <w:pgMar w:left="692" w:right="668" w:gutter="0" w:header="0" w:top="488" w:footer="0" w:bottom="551"/>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iberation Sans">
    <w:altName w:val="Arial"/>
    <w:charset w:val="01"/>
    <w:family w:val="swiss"/>
    <w:pitch w:val="variable"/>
  </w:font>
  <w:font w:name="OpenSymbol">
    <w:altName w:val="Arial Unicode MS"/>
    <w:charset w:val="02"/>
    <w:family w:val="roman"/>
    <w:pitch w:val="variable"/>
  </w:font>
  <w:font w:name="Symbol">
    <w:charset w:val="02"/>
    <w:family w:val="auto"/>
    <w:pitch w:val="default"/>
  </w:font>
  <w:font w:name="OpenSymbol">
    <w:altName w:val="Arial Unicode M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start"/>
      <w:pPr>
        <w:tabs>
          <w:tab w:val="num" w:pos="0"/>
        </w:tabs>
        <w:ind w:start="0" w:hanging="0"/>
      </w:pPr>
      <w:rPr/>
    </w:lvl>
    <w:lvl w:ilvl="1">
      <w:start w:val="1"/>
      <w:numFmt w:val="none"/>
      <w:suff w:val="nothing"/>
      <w:lvlText w:val="%2"/>
      <w:lvlJc w:val="start"/>
      <w:pPr>
        <w:tabs>
          <w:tab w:val="num" w:pos="0"/>
        </w:tabs>
        <w:ind w:start="0" w:hanging="0"/>
      </w:pPr>
      <w:rPr/>
    </w:lvl>
    <w:lvl w:ilvl="2">
      <w:start w:val="1"/>
      <w:numFmt w:val="none"/>
      <w:suff w:val="nothing"/>
      <w:lvlText w:val="%3"/>
      <w:lvlJc w:val="start"/>
      <w:pPr>
        <w:tabs>
          <w:tab w:val="num" w:pos="0"/>
        </w:tabs>
        <w:ind w:start="0" w:hanging="0"/>
      </w:pPr>
      <w:rPr/>
    </w:lvl>
    <w:lvl w:ilvl="3">
      <w:start w:val="1"/>
      <w:numFmt w:val="none"/>
      <w:suff w:val="nothing"/>
      <w:lvlText w:val="%4"/>
      <w:lvlJc w:val="start"/>
      <w:pPr>
        <w:tabs>
          <w:tab w:val="num" w:pos="0"/>
        </w:tabs>
        <w:ind w:start="0" w:hanging="0"/>
      </w:pPr>
      <w:rPr/>
    </w:lvl>
    <w:lvl w:ilvl="4">
      <w:start w:val="1"/>
      <w:numFmt w:val="none"/>
      <w:suff w:val="nothing"/>
      <w:lvlText w:val="%5"/>
      <w:lvlJc w:val="start"/>
      <w:pPr>
        <w:tabs>
          <w:tab w:val="num" w:pos="0"/>
        </w:tabs>
        <w:ind w:start="0" w:hanging="0"/>
      </w:pPr>
      <w:rPr/>
    </w:lvl>
    <w:lvl w:ilvl="5">
      <w:start w:val="1"/>
      <w:numFmt w:val="none"/>
      <w:suff w:val="nothing"/>
      <w:lvlText w:val="%6"/>
      <w:lvlJc w:val="start"/>
      <w:pPr>
        <w:tabs>
          <w:tab w:val="num" w:pos="0"/>
        </w:tabs>
        <w:ind w:start="0" w:hanging="0"/>
      </w:pPr>
      <w:rPr/>
    </w:lvl>
    <w:lvl w:ilvl="6">
      <w:start w:val="1"/>
      <w:numFmt w:val="none"/>
      <w:suff w:val="nothing"/>
      <w:lvlText w:val="%7"/>
      <w:lvlJc w:val="start"/>
      <w:pPr>
        <w:tabs>
          <w:tab w:val="num" w:pos="0"/>
        </w:tabs>
        <w:ind w:start="0" w:hanging="0"/>
      </w:pPr>
      <w:rPr/>
    </w:lvl>
    <w:lvl w:ilvl="7">
      <w:start w:val="1"/>
      <w:numFmt w:val="none"/>
      <w:suff w:val="nothing"/>
      <w:lvlText w:val="%8"/>
      <w:lvlJc w:val="start"/>
      <w:pPr>
        <w:tabs>
          <w:tab w:val="num" w:pos="0"/>
        </w:tabs>
        <w:ind w:start="0" w:hanging="0"/>
      </w:pPr>
      <w:rPr/>
    </w:lvl>
    <w:lvl w:ilvl="8">
      <w:start w:val="1"/>
      <w:numFmt w:val="none"/>
      <w:suff w:val="nothing"/>
      <w:lvlText w:val="%9"/>
      <w:lvlJc w:val="start"/>
      <w:pPr>
        <w:tabs>
          <w:tab w:val="num" w:pos="0"/>
        </w:tabs>
        <w:ind w:start="0" w:hanging="0"/>
      </w:pPr>
      <w:rPr/>
    </w:lvl>
  </w:abstractNum>
  <w:abstractNum w:abstractNumId="2">
    <w:lvl w:ilvl="0">
      <w:start w:val="1"/>
      <w:numFmt w:val="none"/>
      <w:suff w:val="nothing"/>
      <w:lvlText w:val="%1"/>
      <w:lvlJc w:val="start"/>
      <w:pPr>
        <w:tabs>
          <w:tab w:val="num" w:pos="0"/>
        </w:tabs>
        <w:ind w:start="0" w:hanging="0"/>
      </w:pPr>
      <w:rPr/>
    </w:lvl>
    <w:lvl w:ilvl="1">
      <w:start w:val="1"/>
      <w:numFmt w:val="none"/>
      <w:suff w:val="nothing"/>
      <w:lvlText w:val="%2"/>
      <w:lvlJc w:val="start"/>
      <w:pPr>
        <w:tabs>
          <w:tab w:val="num" w:pos="0"/>
        </w:tabs>
        <w:ind w:start="0" w:hanging="0"/>
      </w:pPr>
      <w:rPr/>
    </w:lvl>
    <w:lvl w:ilvl="2">
      <w:start w:val="1"/>
      <w:numFmt w:val="none"/>
      <w:suff w:val="nothing"/>
      <w:lvlText w:val="%3"/>
      <w:lvlJc w:val="start"/>
      <w:pPr>
        <w:tabs>
          <w:tab w:val="num" w:pos="0"/>
        </w:tabs>
        <w:ind w:start="0" w:hanging="0"/>
      </w:pPr>
      <w:rPr/>
    </w:lvl>
    <w:lvl w:ilvl="3">
      <w:start w:val="1"/>
      <w:numFmt w:val="none"/>
      <w:suff w:val="nothing"/>
      <w:lvlText w:val="%4"/>
      <w:lvlJc w:val="start"/>
      <w:pPr>
        <w:tabs>
          <w:tab w:val="num" w:pos="0"/>
        </w:tabs>
        <w:ind w:start="0" w:hanging="0"/>
      </w:pPr>
      <w:rPr/>
    </w:lvl>
    <w:lvl w:ilvl="4">
      <w:start w:val="1"/>
      <w:numFmt w:val="none"/>
      <w:suff w:val="nothing"/>
      <w:lvlText w:val="%5"/>
      <w:lvlJc w:val="start"/>
      <w:pPr>
        <w:tabs>
          <w:tab w:val="num" w:pos="0"/>
        </w:tabs>
        <w:ind w:start="0" w:hanging="0"/>
      </w:pPr>
      <w:rPr/>
    </w:lvl>
    <w:lvl w:ilvl="5">
      <w:start w:val="1"/>
      <w:numFmt w:val="none"/>
      <w:suff w:val="nothing"/>
      <w:lvlText w:val="%6"/>
      <w:lvlJc w:val="start"/>
      <w:pPr>
        <w:tabs>
          <w:tab w:val="num" w:pos="0"/>
        </w:tabs>
        <w:ind w:start="0" w:hanging="0"/>
      </w:pPr>
      <w:rPr/>
    </w:lvl>
    <w:lvl w:ilvl="6">
      <w:start w:val="1"/>
      <w:numFmt w:val="none"/>
      <w:suff w:val="nothing"/>
      <w:lvlText w:val="%7"/>
      <w:lvlJc w:val="start"/>
      <w:pPr>
        <w:tabs>
          <w:tab w:val="num" w:pos="0"/>
        </w:tabs>
        <w:ind w:start="0" w:hanging="0"/>
      </w:pPr>
      <w:rPr/>
    </w:lvl>
    <w:lvl w:ilvl="7">
      <w:start w:val="1"/>
      <w:numFmt w:val="none"/>
      <w:suff w:val="nothing"/>
      <w:lvlText w:val="%8"/>
      <w:lvlJc w:val="start"/>
      <w:pPr>
        <w:tabs>
          <w:tab w:val="num" w:pos="0"/>
        </w:tabs>
        <w:ind w:start="0" w:hanging="0"/>
      </w:pPr>
      <w:rPr/>
    </w:lvl>
    <w:lvl w:ilvl="8">
      <w:start w:val="1"/>
      <w:numFmt w:val="none"/>
      <w:suff w:val="nothing"/>
      <w:lvlText w:val="%9"/>
      <w:lvlJc w:val="start"/>
      <w:pPr>
        <w:tabs>
          <w:tab w:val="num" w:pos="0"/>
        </w:tabs>
        <w:ind w:start="0" w:hanging="0"/>
      </w:pPr>
      <w:rPr/>
    </w:lvl>
  </w:abstractNum>
  <w:abstractNum w:abstractNumId="3">
    <w:lvl w:ilvl="0">
      <w:start w:val="1"/>
      <w:numFmt w:val="bullet"/>
      <w:suff w:val="nothing"/>
      <w:lvlText w:val=""/>
      <w:lvlJc w:val="start"/>
      <w:pPr>
        <w:tabs>
          <w:tab w:val="num" w:pos="0"/>
        </w:tabs>
        <w:ind w:start="0" w:hanging="0"/>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4">
    <w:lvl w:ilvl="0">
      <w:start w:val="1"/>
      <w:numFmt w:val="decimal"/>
      <w:suff w:val="nothing"/>
      <w:lvlText w:val="%1."/>
      <w:lvlJc w:val="start"/>
      <w:pPr>
        <w:tabs>
          <w:tab w:val="num" w:pos="0"/>
        </w:tabs>
        <w:ind w:start="0" w:hanging="0"/>
      </w:pPr>
      <w:rPr/>
    </w:lvl>
    <w:lvl w:ilvl="1">
      <w:start w:val="1"/>
      <w:numFmt w:val="decimal"/>
      <w:lvlText w:val="%2."/>
      <w:lvlJc w:val="start"/>
      <w:pPr>
        <w:tabs>
          <w:tab w:val="num" w:pos="1418"/>
        </w:tabs>
        <w:ind w:start="1418" w:hanging="283"/>
      </w:pPr>
      <w:rPr/>
    </w:lvl>
    <w:lvl w:ilvl="2">
      <w:start w:val="1"/>
      <w:numFmt w:val="decimal"/>
      <w:lvlText w:val="%3."/>
      <w:lvlJc w:val="start"/>
      <w:pPr>
        <w:tabs>
          <w:tab w:val="num" w:pos="2127"/>
        </w:tabs>
        <w:ind w:start="2127" w:hanging="283"/>
      </w:pPr>
      <w:rPr/>
    </w:lvl>
    <w:lvl w:ilvl="3">
      <w:start w:val="1"/>
      <w:numFmt w:val="decimal"/>
      <w:lvlText w:val="%4."/>
      <w:lvlJc w:val="start"/>
      <w:pPr>
        <w:tabs>
          <w:tab w:val="num" w:pos="2836"/>
        </w:tabs>
        <w:ind w:start="2836" w:hanging="283"/>
      </w:pPr>
      <w:rPr/>
    </w:lvl>
    <w:lvl w:ilvl="4">
      <w:start w:val="1"/>
      <w:numFmt w:val="decimal"/>
      <w:lvlText w:val="%5."/>
      <w:lvlJc w:val="start"/>
      <w:pPr>
        <w:tabs>
          <w:tab w:val="num" w:pos="3545"/>
        </w:tabs>
        <w:ind w:start="3545" w:hanging="283"/>
      </w:pPr>
      <w:rPr/>
    </w:lvl>
    <w:lvl w:ilvl="5">
      <w:start w:val="1"/>
      <w:numFmt w:val="decimal"/>
      <w:lvlText w:val="%6."/>
      <w:lvlJc w:val="start"/>
      <w:pPr>
        <w:tabs>
          <w:tab w:val="num" w:pos="4254"/>
        </w:tabs>
        <w:ind w:start="4254" w:hanging="283"/>
      </w:pPr>
      <w:rPr/>
    </w:lvl>
    <w:lvl w:ilvl="6">
      <w:start w:val="1"/>
      <w:numFmt w:val="decimal"/>
      <w:lvlText w:val="%7."/>
      <w:lvlJc w:val="start"/>
      <w:pPr>
        <w:tabs>
          <w:tab w:val="num" w:pos="4963"/>
        </w:tabs>
        <w:ind w:start="4963" w:hanging="283"/>
      </w:pPr>
      <w:rPr/>
    </w:lvl>
    <w:lvl w:ilvl="7">
      <w:start w:val="1"/>
      <w:numFmt w:val="decimal"/>
      <w:lvlText w:val="%8."/>
      <w:lvlJc w:val="start"/>
      <w:pPr>
        <w:tabs>
          <w:tab w:val="num" w:pos="5672"/>
        </w:tabs>
        <w:ind w:start="5672" w:hanging="283"/>
      </w:pPr>
      <w:rPr/>
    </w:lvl>
    <w:lvl w:ilvl="8">
      <w:start w:val="1"/>
      <w:numFmt w:val="decimal"/>
      <w:lvlText w:val="%9."/>
      <w:lvlJc w:val="start"/>
      <w:pPr>
        <w:tabs>
          <w:tab w:val="num" w:pos="6381"/>
        </w:tabs>
        <w:ind w:start="6381" w:hanging="283"/>
      </w:pPr>
      <w:rPr/>
    </w:lvl>
  </w:abstractNum>
  <w:abstractNum w:abstractNumId="5">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6">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7">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8">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9">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10">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11">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12">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13">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14">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15">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16">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17">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18">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19">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20">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21">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22">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23">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24">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25">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26">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27">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28">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29">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30">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31">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32">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33">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34">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35">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36">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37">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38">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39">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40">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41">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42">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43">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44">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45">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46">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47">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48">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49">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50">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51">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52">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53">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bering>
</file>

<file path=word/settings.xml><?xml version="1.0" encoding="utf-8"?>
<w:settings xmlns:w="http://schemas.openxmlformats.org/wordprocessingml/2006/main">
  <w:zoom w:percent="100"/>
  <w:defaultTabStop w:val="709"/>
  <w:autoHyphenation w:val="true"/>
  <w:hyphenationZone w:val="0"/>
  <w:compat>
    <w:adjustLineHeightInTable/>
    <w:doNotUseHTMLParagraphAutoSpacing/>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NSimSun" w:cs="Mangal"/>
        <w:kern w:val="2"/>
        <w:sz w:val="22"/>
        <w:szCs w:val="24"/>
        <w:lang w:val="en-US"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start"/>
    </w:pPr>
    <w:rPr>
      <w:rFonts w:ascii="Liberation Serif" w:hAnsi="Liberation Serif" w:eastAsia="NSimSun" w:cs="Mangal"/>
      <w:color w:val="auto"/>
      <w:kern w:val="2"/>
      <w:sz w:val="24"/>
      <w:szCs w:val="24"/>
      <w:lang w:val="en-US" w:eastAsia="zh-CN" w:bidi="hi-IN"/>
    </w:rPr>
  </w:style>
  <w:style w:type="paragraph" w:styleId="Heading1">
    <w:name w:val="heading 1"/>
    <w:basedOn w:val="Heading"/>
    <w:next w:val="BodyText"/>
    <w:qFormat/>
    <w:pPr>
      <w:numPr>
        <w:ilvl w:val="0"/>
        <w:numId w:val="2"/>
      </w:numPr>
      <w:pBdr>
        <w:bottom w:val="single" w:sz="2" w:space="1" w:color="000000"/>
      </w:pBdr>
      <w:spacing w:before="240" w:after="120"/>
      <w:outlineLvl w:val="0"/>
    </w:pPr>
    <w:rPr>
      <w:b/>
      <w:bCs/>
      <w:sz w:val="40"/>
      <w:szCs w:val="36"/>
    </w:rPr>
  </w:style>
  <w:style w:type="paragraph" w:styleId="Heading2">
    <w:name w:val="heading 2"/>
    <w:basedOn w:val="Heading"/>
    <w:next w:val="BodyText"/>
    <w:qFormat/>
    <w:pPr>
      <w:numPr>
        <w:ilvl w:val="0"/>
        <w:numId w:val="0"/>
      </w:numPr>
      <w:pBdr>
        <w:bottom w:val="single" w:sz="2" w:space="1" w:color="000000"/>
      </w:pBdr>
      <w:spacing w:before="200" w:after="120"/>
      <w:outlineLvl w:val="1"/>
    </w:pPr>
    <w:rPr>
      <w:rFonts w:ascii="Liberation Sans" w:hAnsi="Liberation Sans" w:eastAsia="NSimSun" w:cs="Mangal"/>
      <w:b/>
      <w:bCs/>
      <w:sz w:val="32"/>
      <w:szCs w:val="36"/>
    </w:rPr>
  </w:style>
  <w:style w:type="paragraph" w:styleId="Heading3">
    <w:name w:val="heading 3"/>
    <w:basedOn w:val="Heading"/>
    <w:next w:val="BodyText"/>
    <w:qFormat/>
    <w:pPr>
      <w:numPr>
        <w:ilvl w:val="2"/>
        <w:numId w:val="2"/>
      </w:numPr>
      <w:spacing w:before="140" w:after="120"/>
      <w:outlineLvl w:val="2"/>
    </w:pPr>
    <w:rPr>
      <w:b/>
      <w:bCs/>
      <w:color w:val="365F91"/>
      <w:sz w:val="28"/>
      <w:szCs w:val="28"/>
    </w:rPr>
  </w:style>
  <w:style w:type="paragraph" w:styleId="Heading4">
    <w:name w:val="heading 4"/>
    <w:basedOn w:val="Heading"/>
    <w:next w:val="BodyText"/>
    <w:qFormat/>
    <w:pPr>
      <w:numPr>
        <w:ilvl w:val="0"/>
        <w:numId w:val="0"/>
      </w:numPr>
      <w:spacing w:before="120" w:after="120"/>
      <w:outlineLvl w:val="3"/>
    </w:pPr>
    <w:rPr>
      <w:rFonts w:ascii="Liberation Sans" w:hAnsi="Liberation Sans" w:eastAsia="NSimSun" w:cs="Mangal"/>
      <w:b/>
      <w:bCs/>
      <w:sz w:val="26"/>
      <w:szCs w:val="26"/>
    </w:rPr>
  </w:style>
  <w:style w:type="paragraph" w:styleId="Heading5">
    <w:name w:val="heading 5"/>
    <w:basedOn w:val="Heading"/>
    <w:next w:val="BodyText"/>
    <w:qFormat/>
    <w:pPr>
      <w:numPr>
        <w:ilvl w:val="4"/>
        <w:numId w:val="1"/>
      </w:numPr>
      <w:spacing w:before="120" w:after="60"/>
      <w:outlineLvl w:val="4"/>
    </w:pPr>
    <w:rPr>
      <w:b/>
      <w:bCs/>
      <w:sz w:val="24"/>
      <w:szCs w:val="24"/>
    </w:rPr>
  </w:style>
  <w:style w:type="paragraph" w:styleId="Heading6">
    <w:name w:val="heading 6"/>
    <w:basedOn w:val="Heading"/>
    <w:next w:val="BodyText"/>
    <w:qFormat/>
    <w:pPr>
      <w:numPr>
        <w:ilvl w:val="5"/>
        <w:numId w:val="1"/>
      </w:numPr>
      <w:spacing w:before="60" w:after="60"/>
      <w:outlineLvl w:val="5"/>
    </w:pPr>
    <w:rPr>
      <w:b/>
      <w:bCs/>
      <w:i/>
      <w:iCs/>
      <w:sz w:val="24"/>
      <w:szCs w:val="24"/>
    </w:rPr>
  </w:style>
  <w:style w:type="paragraph" w:styleId="Heading7">
    <w:name w:val="heading 7"/>
    <w:basedOn w:val="Heading"/>
    <w:next w:val="BodyText"/>
    <w:qFormat/>
    <w:pPr>
      <w:numPr>
        <w:ilvl w:val="6"/>
        <w:numId w:val="1"/>
      </w:numPr>
      <w:spacing w:before="60" w:after="60"/>
      <w:outlineLvl w:val="6"/>
    </w:pPr>
    <w:rPr>
      <w:b/>
      <w:bCs/>
      <w:sz w:val="22"/>
      <w:szCs w:val="22"/>
    </w:rPr>
  </w:style>
  <w:style w:type="character" w:styleId="NumberingSymbols">
    <w:name w:val="Numbering Symbols"/>
    <w:qFormat/>
    <w:rPr/>
  </w:style>
  <w:style w:type="character" w:styleId="Quotation">
    <w:name w:val="Quotation"/>
    <w:qFormat/>
    <w:rPr>
      <w:i/>
      <w:iCs/>
    </w:rPr>
  </w:style>
  <w:style w:type="character" w:styleId="Strong">
    <w:name w:val="Strong"/>
    <w:qFormat/>
    <w:rPr>
      <w:b/>
      <w:bCs/>
    </w:rPr>
  </w:style>
  <w:style w:type="character" w:styleId="Bullets">
    <w:name w:val="Bullets"/>
    <w:qFormat/>
    <w:rPr>
      <w:rFonts w:ascii="OpenSymbol" w:hAnsi="OpenSymbol" w:eastAsia="OpenSymbol" w:cs="OpenSymbol"/>
    </w:rPr>
  </w:style>
  <w:style w:type="character" w:styleId="FootnoteCharacters">
    <w:name w:val="Footnote Characters"/>
    <w:qFormat/>
    <w:rPr>
      <w:vertAlign w:val="superscript"/>
    </w:rPr>
  </w:style>
  <w:style w:type="character" w:styleId="FootnoteCharactersuser">
    <w:name w:val="Footnote Characters (user)"/>
    <w:qFormat/>
    <w:rPr>
      <w:vertAlign w:val="superscript"/>
    </w:rPr>
  </w:style>
  <w:style w:type="character" w:styleId="FootnoteReference">
    <w:name w:val="footnote reference"/>
    <w:rPr>
      <w:vertAlign w:val="superscript"/>
    </w:rPr>
  </w:style>
  <w:style w:type="character" w:styleId="Hyperlink">
    <w:name w:val="Hyperlink"/>
    <w:rPr>
      <w:color w:val="000080"/>
      <w:u w:val="single"/>
    </w:rPr>
  </w:style>
  <w:style w:type="character" w:styleId="FollowedHyperlink">
    <w:name w:val="FollowedHyperlink"/>
    <w:rPr>
      <w:color w:val="800000"/>
      <w:u w:val="single"/>
    </w:rPr>
  </w:style>
  <w:style w:type="character" w:styleId="Emphasis">
    <w:name w:val="Emphasis"/>
    <w:qFormat/>
    <w:rPr>
      <w:i/>
      <w:iCs/>
    </w:rPr>
  </w:style>
  <w:style w:type="character" w:styleId="Quotationuser">
    <w:name w:val="Quotation (user)"/>
    <w:qFormat/>
    <w:rPr>
      <w:i/>
      <w:iCs/>
    </w:rPr>
  </w:style>
  <w:style w:type="character" w:styleId="EndnoteCharacters">
    <w:name w:val="Endnote Characters"/>
    <w:qFormat/>
    <w:rPr>
      <w:vertAlign w:val="superscript"/>
    </w:rPr>
  </w:style>
  <w:style w:type="character" w:styleId="EndnoteCharactersuser">
    <w:name w:val="Endnote Characters (user)"/>
    <w:qFormat/>
    <w:rPr>
      <w:vertAlign w:val="superscript"/>
    </w:rPr>
  </w:style>
  <w:style w:type="character" w:styleId="EndnoteReference">
    <w:name w:val="endnote reference"/>
    <w:rPr>
      <w:vertAlign w:val="superscript"/>
    </w:rPr>
  </w:style>
  <w:style w:type="character" w:styleId="IndexLink">
    <w:name w:val="Index Link"/>
    <w:qFormat/>
    <w:rPr/>
  </w:style>
  <w:style w:type="character" w:styleId="Bulletsuser">
    <w:name w:val="Bullets (user)"/>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Microsoft YaHei" w:cs="Mang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Title">
    <w:name w:val="Title"/>
    <w:basedOn w:val="Normal"/>
    <w:next w:val="Normal"/>
    <w:qFormat/>
    <w:pPr>
      <w:pBdr>
        <w:bottom w:val="single" w:sz="8" w:space="4" w:color="4F81BD"/>
      </w:pBdr>
      <w:spacing w:lineRule="auto" w:line="240" w:before="0" w:after="300"/>
      <w:contextualSpacing/>
    </w:pPr>
    <w:rPr>
      <w:rFonts w:ascii="Calibri" w:hAnsi="Calibri" w:eastAsia="NSimSun" w:cs="Mangal"/>
      <w:color w:themeColor="dark2" w:themeShade="bf" w:val="17365D"/>
      <w:spacing w:val="5"/>
      <w:kern w:val="2"/>
      <w:sz w:val="52"/>
      <w:szCs w:val="52"/>
    </w:rPr>
  </w:style>
  <w:style w:type="paragraph" w:styleId="Subtitle">
    <w:name w:val="Subtitle"/>
    <w:basedOn w:val="Heading"/>
    <w:next w:val="BodyText"/>
    <w:qFormat/>
    <w:pPr>
      <w:spacing w:before="60" w:after="120"/>
      <w:jc w:val="center"/>
    </w:pPr>
    <w:rPr>
      <w:sz w:val="36"/>
      <w:szCs w:val="36"/>
    </w:rPr>
  </w:style>
  <w:style w:type="paragraph" w:styleId="FootnoteText">
    <w:name w:val="footnote text"/>
    <w:basedOn w:val="Normal"/>
    <w:pPr>
      <w:suppressLineNumbers/>
      <w:ind w:hanging="340" w:start="340"/>
    </w:pPr>
    <w:rPr>
      <w:sz w:val="20"/>
      <w:szCs w:val="20"/>
    </w:rPr>
  </w:style>
  <w:style w:type="paragraph" w:styleId="HorizontalLine">
    <w:name w:val="Horizontal Line"/>
    <w:basedOn w:val="Normal"/>
    <w:next w:val="BodyText"/>
    <w:qFormat/>
    <w:pPr>
      <w:suppressLineNumbers/>
      <w:pBdr>
        <w:bottom w:val="double" w:sz="2" w:space="0" w:color="808080"/>
      </w:pBdr>
      <w:spacing w:before="0" w:after="283"/>
    </w:pPr>
    <w:rPr>
      <w:sz w:val="12"/>
      <w:szCs w:val="12"/>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ListContents">
    <w:name w:val="List Contents"/>
    <w:basedOn w:val="Normal"/>
    <w:qFormat/>
    <w:pPr>
      <w:ind w:start="567"/>
    </w:pPr>
    <w:rPr/>
  </w:style>
  <w:style w:type="paragraph" w:styleId="BlockQuotation">
    <w:name w:val="Block Quotation"/>
    <w:basedOn w:val="Normal"/>
    <w:qFormat/>
    <w:pPr>
      <w:spacing w:before="0" w:after="283"/>
      <w:ind w:hanging="0" w:start="567" w:end="567"/>
    </w:pPr>
    <w:rPr/>
  </w:style>
  <w:style w:type="paragraph" w:styleId="FrameContentsuser">
    <w:name w:val="Frame Contents (user)"/>
    <w:basedOn w:val="Normal"/>
    <w:qFormat/>
    <w:pPr/>
    <w:rPr/>
  </w:style>
  <w:style w:type="paragraph" w:styleId="IndexHeading">
    <w:name w:val="index heading"/>
    <w:basedOn w:val="Heading"/>
    <w:pPr>
      <w:suppressLineNumbers/>
      <w:ind w:hanging="0" w:start="0"/>
    </w:pPr>
    <w:rPr>
      <w:b/>
      <w:bCs/>
      <w:sz w:val="32"/>
      <w:szCs w:val="32"/>
    </w:rPr>
  </w:style>
  <w:style w:type="paragraph" w:styleId="TOCHeading">
    <w:name w:val="TOC Heading"/>
    <w:basedOn w:val="IndexHeading"/>
    <w:qFormat/>
    <w:pPr>
      <w:suppressLineNumbers/>
      <w:ind w:hanging="0" w:start="0"/>
    </w:pPr>
    <w:rPr>
      <w:b/>
      <w:bCs/>
      <w:sz w:val="32"/>
      <w:szCs w:val="32"/>
    </w:rPr>
  </w:style>
  <w:style w:type="paragraph" w:styleId="TOC1">
    <w:name w:val="toc 1"/>
    <w:basedOn w:val="Index"/>
    <w:pPr>
      <w:tabs>
        <w:tab w:val="clear" w:pos="709"/>
        <w:tab w:val="right" w:pos="10546" w:leader="dot"/>
      </w:tabs>
      <w:spacing w:before="58" w:after="0"/>
      <w:ind w:hanging="0" w:start="0"/>
    </w:pPr>
    <w:rPr>
      <w:b/>
    </w:rPr>
  </w:style>
  <w:style w:type="paragraph" w:styleId="TOC2">
    <w:name w:val="toc 2"/>
    <w:basedOn w:val="Index"/>
    <w:pPr>
      <w:tabs>
        <w:tab w:val="clear" w:pos="709"/>
        <w:tab w:val="right" w:pos="10546" w:leader="dot"/>
      </w:tabs>
      <w:ind w:hanging="0" w:start="283"/>
    </w:pPr>
    <w:rPr/>
  </w:style>
  <w:style w:type="paragraph" w:styleId="TOC3">
    <w:name w:val="toc 3"/>
    <w:basedOn w:val="Index"/>
    <w:pPr>
      <w:tabs>
        <w:tab w:val="clear" w:pos="709"/>
        <w:tab w:val="right" w:pos="10546" w:leader="dot"/>
      </w:tabs>
      <w:ind w:hanging="0" w:start="567"/>
    </w:pPr>
    <w:rPr/>
  </w:style>
  <w:style w:type="paragraph" w:styleId="TOC4">
    <w:name w:val="toc 4"/>
    <w:basedOn w:val="Index"/>
    <w:pPr>
      <w:tabs>
        <w:tab w:val="clear" w:pos="709"/>
        <w:tab w:val="right" w:pos="10546" w:leader="dot"/>
      </w:tabs>
      <w:ind w:hanging="0" w:start="850"/>
    </w:pPr>
    <w:rPr/>
  </w:style>
  <w:style w:type="paragraph" w:styleId="TOC5">
    <w:name w:val="toc 5"/>
    <w:basedOn w:val="Index"/>
    <w:pPr>
      <w:tabs>
        <w:tab w:val="clear" w:pos="709"/>
        <w:tab w:val="right" w:pos="10546" w:leader="dot"/>
      </w:tabs>
      <w:ind w:hanging="0" w:start="1134"/>
    </w:pPr>
    <w:rPr/>
  </w:style>
  <w:style w:type="paragraph" w:styleId="FrameContents">
    <w:name w:val="Frame Contents"/>
    <w:basedOn w:val="Normal"/>
    <w:qFormat/>
    <w:pPr/>
    <w:rPr/>
  </w:style>
  <w:style w:type="paragraph" w:styleId="Question">
    <w:name w:val="Question"/>
    <w:basedOn w:val="BodyText"/>
    <w:next w:val="Answer"/>
    <w:autoRedefine/>
    <w:qFormat/>
    <w:pPr>
      <w:keepNext w:val="true"/>
      <w:widowControl/>
      <w:suppressAutoHyphens w:val="true"/>
      <w:overflowPunct w:val="true"/>
      <w:bidi w:val="0"/>
      <w:spacing w:lineRule="auto" w:line="240" w:before="115" w:after="0"/>
      <w:ind w:hanging="624" w:start="1361" w:end="0"/>
      <w:jc w:val="start"/>
    </w:pPr>
    <w:rPr/>
  </w:style>
  <w:style w:type="paragraph" w:styleId="Answer">
    <w:name w:val="Answer"/>
    <w:basedOn w:val="BodyText"/>
    <w:next w:val="Question"/>
    <w:qFormat/>
    <w:pPr>
      <w:widowControl/>
      <w:tabs>
        <w:tab w:val="clear" w:pos="709"/>
      </w:tabs>
      <w:suppressAutoHyphens w:val="true"/>
      <w:overflowPunct w:val="true"/>
      <w:bidi w:val="0"/>
      <w:spacing w:lineRule="auto" w:line="240" w:before="0" w:after="140"/>
      <w:ind w:hanging="624" w:start="1361" w:end="0"/>
      <w:jc w:val="start"/>
    </w:pPr>
    <w:rPr/>
  </w:style>
  <w:style w:type="paragraph" w:styleId="FirstParagraph">
    <w:name w:val="First Paragraph"/>
    <w:basedOn w:val="BodyText"/>
    <w:next w:val="BodyText"/>
    <w:qFormat/>
    <w:pPr/>
    <w:rPr/>
  </w:style>
  <w:style w:type="paragraph" w:styleId="Compact">
    <w:name w:val="Compact"/>
    <w:basedOn w:val="BodyText"/>
    <w:qFormat/>
    <w:pPr>
      <w:spacing w:before="36" w:after="36"/>
    </w:pPr>
    <w:rPr/>
  </w:style>
  <w:style w:type="paragraph" w:styleId="EndnoteText">
    <w:name w:val="endnote text"/>
    <w:basedOn w:val="Normal"/>
    <w:pPr>
      <w:suppressLineNumbers/>
      <w:ind w:hanging="340" w:start="340"/>
    </w:pPr>
    <w:rPr>
      <w:sz w:val="20"/>
      <w:szCs w:val="20"/>
    </w:rPr>
  </w:style>
  <w:style w:type="paragraph" w:styleId="BlockQuotationuser">
    <w:name w:val="Block Quotation (user)"/>
    <w:basedOn w:val="Normal"/>
    <w:qFormat/>
    <w:pPr>
      <w:spacing w:before="0" w:after="283"/>
      <w:ind w:hanging="0" w:start="567" w:end="567"/>
    </w:pPr>
    <w:rPr/>
  </w:style>
  <w:style w:type="paragraph" w:styleId="HeaderandFooter">
    <w:name w:val="Header and Footer"/>
    <w:basedOn w:val="Normal"/>
    <w:qFormat/>
    <w:pPr>
      <w:suppressLineNumbers/>
      <w:tabs>
        <w:tab w:val="clear" w:pos="709"/>
        <w:tab w:val="center" w:pos="5273" w:leader="none"/>
        <w:tab w:val="right" w:pos="10546" w:leader="none"/>
      </w:tabs>
    </w:pPr>
    <w:rPr/>
  </w:style>
  <w:style w:type="paragraph" w:styleId="Footer">
    <w:name w:val="footer"/>
    <w:basedOn w:val="HeaderandFooter"/>
    <w:pPr>
      <w:suppressLineNumbers/>
    </w:pPr>
    <w:rPr/>
  </w:style>
  <w:style w:type="paragraph" w:styleId="Comment">
    <w:name w:val="Comment"/>
    <w:basedOn w:val="Normal"/>
    <w:qFormat/>
    <w:pPr>
      <w:spacing w:lineRule="auto" w:line="240" w:before="56" w:after="0"/>
      <w:ind w:hanging="0" w:start="57" w:end="57"/>
    </w:pPr>
    <w:rPr>
      <w:color w:val="aut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MyDefault</Template>
  <TotalTime>136</TotalTime>
  <Application>LibreOffice/26.8.0.1$Windows_X86_64 LibreOffice_project/2577b8a8e9a5d3f37124fb86a89387e3807953a7</Application>
  <AppVersion>15.0000</AppVersion>
  <Pages>76</Pages>
  <Words>26027</Words>
  <Characters>151821</Characters>
  <CharactersWithSpaces>175399</CharactersWithSpaces>
  <Paragraphs>2245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2026-08-05T13:43:12Z</dcterms:created>
  <dc:creator/>
  <dc:description/>
  <dc:language>en-IN</dc:language>
  <cp:lastModifiedBy/>
  <cp:lastPrinted>2026-08-05T16:14:45Z</cp:lastPrinted>
  <dcterms:modified xsi:type="dcterms:W3CDTF">2026-08-05T16:14:19Z</dcterms:modified>
  <cp:revision>11</cp:revision>
  <dc:subject/>
  <dc:title>MyDefault</dc:title>
</cp:coreProperties>
</file>

<file path=docProps/custom.xml><?xml version="1.0" encoding="utf-8"?>
<Properties xmlns="http://schemas.openxmlformats.org/officeDocument/2006/custom-properties" xmlns:vt="http://schemas.openxmlformats.org/officeDocument/2006/docPropsVTypes"/>
</file>